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alk-20251231.htm"/>
        <w:bookmarkStart w:id="1" w:name="kstalk20251231"/>
        <w:bookmarkEnd w:id="0"/>
        <w:bookmarkEnd w:id="1"/>
        <w:r>
          <w:rPr>
            <w:rStyle w:val="InternetLink"/>
            <w:rFonts w:ascii="Times New Roman" w:hAnsi="Times New Roman"/>
            <w:color w:val="0000FF"/>
            <w:sz w:val="20"/>
            <w:u w:val="single"/>
          </w:rPr>
          <w:t>Table of Contents</w:t>
        </w:r>
      </w:hyperlink>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10-K/A</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AMENDMENT No. 1</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ANNUAL REPORT PURSUANT TO SECTION 13 OR 15(d) OF THE SECURITIES EXCHANGE ACT OF 1934</w:t>
            </w:r>
            <w:r>
              <w:rPr>
                <w:rFonts w:ascii="Times New Roman" w:hAnsi="Times New Roman"/>
                <w:color w:val="000000"/>
                <w:sz w:val="24"/>
              </w:rPr>
              <w:t xml:space="preserve"> </w:t>
            </w:r>
          </w:p>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4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p>
            <w:pPr>
              <w:pStyle w:val="TableContents"/>
              <w:bidi w:val="0"/>
              <w:spacing w:before="60" w:after="283"/>
              <w:jc w:val="left"/>
              <w:rPr/>
            </w:pPr>
            <w:r>
              <w:rPr/>
              <w:t> </w:t>
            </w:r>
          </w:p>
          <w:p>
            <w:pPr>
              <w:pStyle w:val="TableContents"/>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001-39314</w:t>
      </w:r>
    </w:p>
    <w:p>
      <w:pPr>
        <w:pStyle w:val="TextBody"/>
        <w:bidi w:val="0"/>
        <w:spacing w:before="60" w:after="283"/>
        <w:jc w:val="center"/>
        <w:rPr/>
      </w:pPr>
      <w:r>
        <w:rPr/>
        <w:t>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TALKSPACE,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4472" w:type="dxa"/>
        <w:jc w:val="left"/>
        <w:tblInd w:w="0" w:type="dxa"/>
        <w:tblLayout w:type="fixed"/>
        <w:tblCellMar>
          <w:top w:w="28" w:type="dxa"/>
          <w:left w:w="28" w:type="dxa"/>
          <w:bottom w:w="28" w:type="dxa"/>
          <w:right w:w="28" w:type="dxa"/>
        </w:tblCellMar>
      </w:tblPr>
      <w:tblGrid>
        <w:gridCol w:w="2986"/>
        <w:gridCol w:w="1486"/>
      </w:tblGrid>
      <w:tr>
        <w:trPr/>
        <w:tc>
          <w:tcPr>
            <w:tcW w:w="29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84-4636604</w:t>
            </w:r>
          </w:p>
        </w:tc>
      </w:tr>
      <w:tr>
        <w:trPr/>
        <w:tc>
          <w:tcPr>
            <w:tcW w:w="29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86" w:type="dxa"/>
            <w:tcBorders/>
            <w:tcMar>
              <w:top w:w="0" w:type="dxa"/>
              <w:left w:w="0" w:type="dxa"/>
              <w:bottom w:w="0" w:type="dxa"/>
              <w:right w:w="0" w:type="dxa"/>
            </w:tcMar>
            <w:vAlign w:val="center"/>
          </w:tcPr>
          <w:p>
            <w:pPr>
              <w:pStyle w:val="TableContents"/>
              <w:bidi w:val="0"/>
              <w:spacing w:before="120" w:after="15"/>
              <w:jc w:val="center"/>
              <w:rPr>
                <w:rFonts w:ascii="Times New Roman" w:hAnsi="Times New Roman"/>
                <w:sz w:val="20"/>
              </w:rPr>
            </w:pPr>
            <w:r>
              <w:rPr>
                <w:rFonts w:ascii="Times New Roman" w:hAnsi="Times New Roman"/>
                <w:b/>
                <w:color w:val="000000"/>
                <w:sz w:val="20"/>
              </w:rPr>
              <w:t>622 Third Avenue, New York, NY</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10017</w:t>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(212) 284-7206</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spacing w:before="60" w:after="283"/>
        <w:jc w:val="center"/>
        <w:rPr/>
      </w:pPr>
      <w:r>
        <w:rP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3676"/>
        <w:gridCol w:w="146"/>
        <w:gridCol w:w="169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2"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TALKW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60" w:after="283"/>
        <w:jc w:val="center"/>
        <w:rPr/>
      </w:pPr>
      <w:r>
        <w:rP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Securities registered pursuant to Section 12(g) of the Act:</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Not Applicable</w:t>
      </w:r>
    </w:p>
    <w:p>
      <w:pPr>
        <w:pStyle w:val="TextBody"/>
        <w:bidi w:val="0"/>
        <w:jc w:val="center"/>
        <w:rPr>
          <w:rFonts w:ascii="Times New Roman" w:hAnsi="Times New Roman"/>
          <w:b/>
          <w:color w:val="000000"/>
          <w:sz w:val="16"/>
          <w:u w:val="single"/>
        </w:rPr>
      </w:pPr>
      <w:r>
        <w:rPr>
          <w:rFonts w:ascii="Times New Roman" w:hAnsi="Times New Roman"/>
          <w:b/>
          <w:color w:val="000000"/>
          <w:sz w:val="16"/>
          <w:u w:val="single"/>
        </w:rPr>
        <w:t>(Title of class)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Indicate by check mark if the Registrant is a well-known seasoned issuer, as defined in Rule 405 of the Securities Act. YES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80" w:after="240"/>
        <w:jc w:val="left"/>
        <w:rPr>
          <w:rFonts w:ascii="Times New Roman" w:hAnsi="Times New Roman"/>
          <w:sz w:val="20"/>
        </w:rPr>
      </w:pPr>
      <w:r>
        <w:rPr>
          <w:rFonts w:ascii="Times New Roman" w:hAnsi="Times New Roman"/>
          <w:color w:val="000000"/>
          <w:sz w:val="20"/>
        </w:rPr>
        <w:t xml:space="preserve">Indicate by check mark if the Registrant is not required to file reports pursuant to Section 13 or 15(d) of the Act. YES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color w:val="000000"/>
              </w:rPr>
            </w:pPr>
            <w:r>
              <w:rPr>
                <w:color w:val="000000"/>
              </w:rPr>
              <w:t>☐</w:t>
            </w:r>
          </w:p>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1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61"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Act).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aggregate market value of the voting common stock held by non-affiliates of the Company at June 30, 2025 was $393.2 million based on the per share closing price of the Company's common stock on June 30, 2025 of $2.78.</w:t>
      </w:r>
    </w:p>
    <w:p>
      <w:pPr>
        <w:pStyle w:val="TextBody"/>
        <w:bidi w:val="0"/>
        <w:spacing w:before="180" w:after="60"/>
        <w:jc w:val="left"/>
        <w:rPr>
          <w:rFonts w:ascii="Times New Roman" w:hAnsi="Times New Roman"/>
          <w:color w:val="000000"/>
          <w:sz w:val="20"/>
        </w:rPr>
      </w:pPr>
      <w:r>
        <w:rPr>
          <w:rFonts w:ascii="Times New Roman" w:hAnsi="Times New Roman"/>
          <w:color w:val="000000"/>
          <w:sz w:val="20"/>
        </w:rPr>
        <w:t>The number of shares of common stock outstanding on March 10, 2026 was 167,076,010.</w:t>
      </w:r>
    </w:p>
    <w:p>
      <w:pPr>
        <w:pStyle w:val="TextBody"/>
        <w:bidi w:val="0"/>
        <w:spacing w:before="30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tbl>
      <w:tblPr>
        <w:tblW w:w="9351" w:type="dxa"/>
        <w:jc w:val="left"/>
        <w:tblInd w:w="0" w:type="dxa"/>
        <w:tblLayout w:type="fixed"/>
        <w:tblCellMar>
          <w:top w:w="28" w:type="dxa"/>
          <w:left w:w="28" w:type="dxa"/>
          <w:bottom w:w="28" w:type="dxa"/>
          <w:right w:w="28" w:type="dxa"/>
        </w:tblCellMar>
      </w:tblPr>
      <w:tblGrid>
        <w:gridCol w:w="991"/>
        <w:gridCol w:w="466"/>
        <w:gridCol w:w="1246"/>
        <w:gridCol w:w="3976"/>
        <w:gridCol w:w="1426"/>
        <w:gridCol w:w="1246"/>
      </w:tblGrid>
      <w:tr>
        <w:trPr/>
        <w:tc>
          <w:tcPr>
            <w:tcW w:w="9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PCAOB ID:</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1281</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Auditor Name:</w:t>
            </w:r>
            <w:r>
              <w:rPr>
                <w:rFonts w:ascii="Times New Roman" w:hAnsi="Times New Roman"/>
                <w:color w:val="000000"/>
                <w:sz w:val="17"/>
              </w:rPr>
              <w:t xml:space="preserve">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Kost Forer Gabbay &amp; Kasierer, a member of EY Global</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Auditor Location:</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Tel-Aviv, Israel</w:t>
            </w:r>
          </w:p>
        </w:tc>
      </w:tr>
    </w:tbl>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Amendment No. 1 to the Annual Report on Form 10-K (this “Amendment”) amends the Annual Report on Form 10-K for the year ended December 31, 2025 originally filed on March 13, 2026 (the “Original Filing”) by Talkspace, Inc., a Delaware corporation (referred to herein as the “Company”, “we”, “our”, “us” or “Talkspace”). Talkspace is filing this Amendment to present the information required by Part III of Form 10-K as Talkspace will not file its definitive proxy statement within 120 days of the end of its fiscal year ended December 31, 2025.</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Talkspace is also filing as Exhibits to this Amendment certifications with respect to this filing by its principal executive officer and principal financial officer pursuant to Section 302 of the Sarbanes-Oxley Act of 2002; accordingly, Item 15 of Part IV has also been amended to reflect the filing of these new exhibits. Because no financial statements are being filed in this Amendment, and this Amendment does not contain or amend any disclosure with respect to Items 307 and 308 of Regulation S-K, paragraphs 3, 4 and 5 of the certifications have been omitted. Talkspace is also not including the certifications required under Section 906 of the Sarbanes-Oxley Act of 2002, since no financial statements are being filed with this Amendment.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On March 9, 2026, the Company entered into an Agreement and Plan of Merger (the “Merger Agreement”) with Universal Health Services, Inc., a Delaware corporation (“UHS”), and UHS Merger Subsidiary, Inc., a Delaware corporation and an indirect wholly owned subsidiary of UHS (“Merger Sub”), pursuant to which Merger Sub will merge with and into the Company (the “Merger”), with the Company surviving the Merger as an indirect wholly owned subsidiary of UHS. Subject to the terms and conditions of the Merger Agreement, at the effective time of the Merger, each issued and outstanding share of the Company’s common stock (other than canceled shares and appraisal shares) will be converted into the right to receive $5.25 in cash per share, without interest and subject to any applicable withholding taxes. The Company’s board of directors unanimously approved and declared advisable the Merger Agreement on March 6, 2026, and the Company has scheduled a special meeting of stockholders for May 29, 2026 to vote on adoption of the Merger Agreement. The foregoing description is qualified in its entirety by reference to the full text of the Merger Agreement, which is attached as Annex A to the Company’s Definitive Proxy Statement on Schedule 14A filed with the SEC on April 20,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the Merger is consummated, the Company expects the Company’s common stock to be delisted from Nasdaq and deregistered under the Securities Exchange Act of 1934, as amended, as soon as reasonably practicable following the effective time, and the Company expects to file a Form 15 to suspend its reporting obligations under the Exchange Act as soon as practicable thereafter.</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Except as described above, no other changes have been made to the Original Filing. The Original Filing continues to speak as of the date of the Original Filing, and Talkspace has not updated the disclosures contained therein to reflect any events which occurred at a date subsequent to the filing of the Original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2" w:name="toc_page"/>
      <w:bookmarkEnd w:id="2"/>
      <w:r>
        <w:rPr>
          <w:rFonts w:ascii="Times New Roman" w:hAnsi="Times New Roman"/>
          <w:b/>
          <w:color w:val="000000"/>
          <w:sz w:val="22"/>
        </w:rPr>
        <w:t>Table of Contents</w:t>
      </w:r>
    </w:p>
    <w:p>
      <w:pPr>
        <w:pStyle w:val="TextBody"/>
        <w:bidi w:val="0"/>
        <w:jc w:val="left"/>
        <w:rPr/>
      </w:pPr>
      <w:r>
        <w:rPr/>
        <w:t> </w:t>
      </w:r>
    </w:p>
    <w:tbl>
      <w:tblPr>
        <w:tblW w:w="9817" w:type="dxa"/>
        <w:jc w:val="left"/>
        <w:tblInd w:w="0" w:type="dxa"/>
        <w:tblLayout w:type="fixed"/>
        <w:tblCellMar>
          <w:top w:w="28" w:type="dxa"/>
          <w:left w:w="28" w:type="dxa"/>
          <w:bottom w:w="28" w:type="dxa"/>
          <w:right w:w="28" w:type="dxa"/>
        </w:tblCellMar>
      </w:tblPr>
      <w:tblGrid>
        <w:gridCol w:w="918"/>
        <w:gridCol w:w="8251"/>
        <w:gridCol w:w="648"/>
      </w:tblGrid>
      <w:tr>
        <w:trPr/>
        <w:tc>
          <w:tcPr>
            <w:tcW w:w="918"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25</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30</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exhibit_index">
              <w:r>
                <w:rPr>
                  <w:rStyle w:val="InternetLink"/>
                  <w:rFonts w:ascii="Times New Roman" w:hAnsi="Times New Roman"/>
                  <w:color w:val="0000FF"/>
                  <w:sz w:val="20"/>
                  <w:u w:val="single"/>
                </w:rPr>
                <w:t>Exhibit Index</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00" w:after="283"/>
        <w:jc w:val="left"/>
        <w:rPr>
          <w:rFonts w:ascii="Times New Roman" w:hAnsi="Times New Roman"/>
          <w:b/>
          <w:color w:val="000000"/>
          <w:sz w:val="22"/>
        </w:rPr>
      </w:pPr>
      <w:bookmarkStart w:id="3" w:name="item_10_directors_executive_officers"/>
      <w:bookmarkEnd w:id="3"/>
      <w:r>
        <w:rPr>
          <w:rFonts w:ascii="Times New Roman" w:hAnsi="Times New Roman"/>
          <w:b/>
          <w:color w:val="000000"/>
          <w:sz w:val="22"/>
        </w:rPr>
        <w:t>Item 10. DIRECTORS, EXECUTIVE OFFICERS AND CORPORATE GOVERNANCE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provides information regarding our executive officers and members of our board of directors (ages as of the date of this report):</w:t>
      </w:r>
    </w:p>
    <w:tbl>
      <w:tblPr>
        <w:tblW w:w="6190" w:type="dxa"/>
        <w:jc w:val="left"/>
        <w:tblInd w:w="0" w:type="dxa"/>
        <w:tblLayout w:type="fixed"/>
        <w:tblCellMar>
          <w:top w:w="28" w:type="dxa"/>
          <w:left w:w="28" w:type="dxa"/>
          <w:bottom w:w="28" w:type="dxa"/>
          <w:right w:w="28" w:type="dxa"/>
        </w:tblCellMar>
      </w:tblPr>
      <w:tblGrid>
        <w:gridCol w:w="1726"/>
        <w:gridCol w:w="146"/>
        <w:gridCol w:w="406"/>
        <w:gridCol w:w="146"/>
        <w:gridCol w:w="376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Age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Position</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 Margolin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Reilly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EVP Gov't Relations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Katelyn Watson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Marketing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Braunstein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Warfield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Erez Shachar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Jacqueline Yeaney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Madhu Pawar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Hansen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Swati Abbott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Liat Ben-Zur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Jon Cohen, M.D. </w:t>
      </w:r>
      <w:r>
        <w:rPr>
          <w:rFonts w:ascii="Times New Roman" w:hAnsi="Times New Roman"/>
          <w:color w:val="000000"/>
          <w:sz w:val="20"/>
        </w:rPr>
        <w:t xml:space="preserve">Dr. Cohen has served as Talkspace's Chief Executive Officer since November 2022, and has served as Director since September 2022. </w:t>
      </w:r>
      <w:r>
        <w:rPr>
          <w:rFonts w:ascii="Times New Roman" w:hAnsi="Times New Roman"/>
          <w:color w:val="222222"/>
          <w:sz w:val="20"/>
        </w:rPr>
        <w:t xml:space="preserve">Dr. </w:t>
      </w:r>
      <w:r>
        <w:rPr>
          <w:rFonts w:ascii="Times New Roman" w:hAnsi="Times New Roman"/>
          <w:color w:val="000000"/>
          <w:sz w:val="20"/>
        </w:rPr>
        <w:t>Cohen has served as Executive Chairman of BioReference Laboratories and Senior Vice President of OPKO Health (NASDAQ: OPK) from 2019 until August 2022. From 2009 to 2018, Dr. Cohen served as an executive officer of Quest Diagnostics. Prior to that</w:t>
      </w:r>
      <w:r>
        <w:rPr>
          <w:rFonts w:ascii="Times New Roman" w:hAnsi="Times New Roman"/>
          <w:color w:val="222222"/>
          <w:sz w:val="20"/>
        </w:rPr>
        <w:t xml:space="preserve"> h</w:t>
      </w:r>
      <w:r>
        <w:rPr>
          <w:rFonts w:ascii="Times New Roman" w:hAnsi="Times New Roman"/>
          <w:color w:val="000000"/>
          <w:sz w:val="20"/>
        </w:rPr>
        <w:t xml:space="preserve">e served as Senior Advisor to New York Governor David A. Paterson, where he was responsible for all State policy and strategic planning. Dr. Cohen served for six years as Chief Medical Officer at Northwell Health, the largest healthcare system in New York State. As Chief Executive Officer, Dr. Cohen provides valuable insight to the Board on the Company’s day-to-day operations. In addition, we believe Dr. Cohen's extensive experience in the industry and his leadership skills make him an ideal member of our Board. </w:t>
      </w:r>
    </w:p>
    <w:p>
      <w:pPr>
        <w:pStyle w:val="TextBody"/>
        <w:bidi w:val="0"/>
        <w:spacing w:before="0" w:after="283"/>
        <w:jc w:val="both"/>
        <w:rPr>
          <w:rFonts w:ascii="Times New Roman" w:hAnsi="Times New Roman"/>
          <w:sz w:val="20"/>
        </w:rPr>
      </w:pPr>
      <w:r>
        <w:rPr>
          <w:rFonts w:ascii="Times New Roman" w:hAnsi="Times New Roman"/>
          <w:b/>
          <w:i/>
          <w:color w:val="000000"/>
          <w:sz w:val="20"/>
        </w:rPr>
        <w:t>Ian Harris.</w:t>
      </w:r>
      <w:r>
        <w:rPr>
          <w:rFonts w:ascii="Times New Roman" w:hAnsi="Times New Roman"/>
          <w:color w:val="000000"/>
          <w:sz w:val="20"/>
        </w:rPr>
        <w:t xml:space="preserve"> Mr. Harris has served as Talkspace’s Chief Financial Officer since May 2024. Prior to joining Talkspace, Mr. Harris most recently served as Partner and Managing Director at Hudson Executive Capital LP, an alternative investment firm. At Hudson Executive Capital, Mr. Harris led the investment team’s efforts to source, perform diligence, and manage investments in the healthcare, technology, and financial services sectors. Prior to joining Hudson Executive Capital in 2017, Mr. Harris worked at Barclays Capital, the investment banking division of Barclays PLC, where he advised healthcare companies on M&amp;A and capital market activities. Mr. Harris currently serves as a director at Cantaloupe (Nasdaq: CTLP) and Liberated Syndication, Inc. Mr. Harris received a B.A. in Economics and a B.A. in International Relations from Brown University.</w:t>
      </w:r>
    </w:p>
    <w:p>
      <w:pPr>
        <w:pStyle w:val="TextBody"/>
        <w:bidi w:val="0"/>
        <w:jc w:val="both"/>
        <w:rPr>
          <w:rFonts w:ascii="Times New Roman" w:hAnsi="Times New Roman"/>
          <w:sz w:val="20"/>
        </w:rPr>
      </w:pPr>
      <w:r>
        <w:rPr>
          <w:rFonts w:ascii="Times New Roman" w:hAnsi="Times New Roman"/>
          <w:b/>
          <w:i/>
          <w:color w:val="000000"/>
          <w:sz w:val="20"/>
        </w:rPr>
        <w:t>Gil Margolin.</w:t>
      </w:r>
      <w:r>
        <w:rPr>
          <w:rFonts w:ascii="Times New Roman" w:hAnsi="Times New Roman"/>
          <w:color w:val="000000"/>
          <w:sz w:val="20"/>
        </w:rPr>
        <w:t xml:space="preserve"> Mr. Margolin has served as Talkspace’s Chief Technology Officer since April 2014. Prior to Talkspace, Mr. Margolin served as the Director of Product Management at Deutsche Telekom AG, a telecommunications company, from October 2012 to April 2014. Prior to that, Mr. Margolin served as Director of Product Management at SupportSpace, a cloud-based remote services company, from October 2011 to November 2012. Mr. Margolin previously held several roles at Amdocs, a software and services provider to communications and media companies, including as Director of Product Management from October 2009 to November 2011, Architecture Manager from 2007 to 2009, and Engineering Manager from 2004 to 2007. Mr. Margolin holds a B.S. in Computer Science from the University of Tel Aviv.</w:t>
      </w:r>
    </w:p>
    <w:p>
      <w:pPr>
        <w:pStyle w:val="TextBody"/>
        <w:bidi w:val="0"/>
        <w:spacing w:before="240" w:after="283"/>
        <w:jc w:val="both"/>
        <w:rPr>
          <w:rFonts w:ascii="Times New Roman" w:hAnsi="Times New Roman"/>
          <w:sz w:val="20"/>
        </w:rPr>
      </w:pPr>
      <w:r>
        <w:rPr>
          <w:rFonts w:ascii="Times New Roman" w:hAnsi="Times New Roman"/>
          <w:b/>
          <w:i/>
          <w:color w:val="000000"/>
          <w:sz w:val="20"/>
        </w:rPr>
        <w:t>John Reilly.</w:t>
      </w:r>
      <w:r>
        <w:rPr>
          <w:rFonts w:ascii="Times New Roman" w:hAnsi="Times New Roman"/>
          <w:color w:val="000000"/>
          <w:sz w:val="20"/>
        </w:rPr>
        <w:t xml:space="preserve"> Mr. Reilly has served as Talkspace’s Corporate and then General Counsel since March 2011 and presently serves as Talkspace's Chief Legal Officer and EVP Gov't Relations. Prior to Talkspace, Mr. Reilly was a partner of Hilltop Holdings from 2004-2011, where he managed hospitality and real estate investments for private portfolio investors and acted as a fractional general counsel to several start-up companies. Mr. Reilly previously served as President of Highland Development Corporation, a real estate development company, from 1999 to 2003 where he partnered to build and operate congregate care campuses.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Reilly also previously held several roles at Kapson Senior Quarters Corp., a publicly traded assisted living company, including as Senior Vice President of Acquisitions and Development from 1998 to 1999, Vice President of Development from 1997 to 1998 and Corporate Counsel from 1996 to 1997. Mr. Reilly started his career as a legal associate at Squire, Sanders &amp; Dempsey in Washington DC. Mr. Reilly holds a J.D. from Boston College Law School and a B.A. from the University of Virginia.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Katelyn Watson</w:t>
      </w:r>
      <w:r>
        <w:rPr>
          <w:rFonts w:ascii="Times New Roman" w:hAnsi="Times New Roman"/>
          <w:color w:val="000000"/>
          <w:sz w:val="20"/>
        </w:rPr>
        <w:t>. Ms. Watson has served as the Chief Marketing Officer of Talkspace since October 2022. Prior to Talkspace, Ms. Watson served as the Chief Marketing Officer of Nurx (and then Thirty Madison following their acquisition of Nurx), from October 2018 to September 2022. Prior to Nurx and Thirty Madison, Ms. Watson was the Vice President of Marketing at experience marketplace IfOnly (which became Mastercard Priceless Cities following the acquisition from Mastercard), from February 2014 to August 2018. Prior to IfOnly, Ms. Watson was Director of Marketing at multiple companies including Kabbage, now an American Express company, Shutterfly Inc., and LaQuinta Hotels, a Wyndham company, from February 2007 to February 2014. Ms. Watson has also served as marketing advisor in parallel to full time roles over time for many companies which include former roles at Quickframe, Galore, Fairy, and Minded and current roles at Pixis and BonBon. Ms. Watson holds a B.B.A. from the University of North Texas.</w:t>
      </w:r>
    </w:p>
    <w:p>
      <w:pPr>
        <w:pStyle w:val="TextBody"/>
        <w:bidi w:val="0"/>
        <w:jc w:val="left"/>
        <w:rPr>
          <w:rFonts w:ascii="Times New Roman" w:hAnsi="Times New Roman"/>
          <w:b/>
          <w:color w:val="000000"/>
          <w:sz w:val="20"/>
        </w:rPr>
      </w:pPr>
      <w:r>
        <w:rPr>
          <w:rFonts w:ascii="Times New Roman" w:hAnsi="Times New Roman"/>
          <w:b/>
          <w:color w:val="000000"/>
          <w:sz w:val="20"/>
        </w:rPr>
        <w:t>NON-EMPLOYEE DIRECTORS</w:t>
      </w:r>
    </w:p>
    <w:p>
      <w:pPr>
        <w:pStyle w:val="TextBody"/>
        <w:bidi w:val="0"/>
        <w:spacing w:before="180" w:after="283"/>
        <w:jc w:val="both"/>
        <w:rPr>
          <w:rFonts w:ascii="Times New Roman" w:hAnsi="Times New Roman"/>
          <w:sz w:val="20"/>
        </w:rPr>
      </w:pPr>
      <w:r>
        <w:rPr>
          <w:rFonts w:ascii="Times New Roman" w:hAnsi="Times New Roman"/>
          <w:b/>
          <w:i/>
          <w:color w:val="000000"/>
          <w:sz w:val="20"/>
        </w:rPr>
        <w:t>Douglas Braunstein.</w:t>
      </w:r>
      <w:r>
        <w:rPr>
          <w:rFonts w:ascii="Times New Roman" w:hAnsi="Times New Roman"/>
          <w:color w:val="000000"/>
          <w:sz w:val="20"/>
        </w:rPr>
        <w:t xml:space="preserve"> Mr. Braunstein served as Talkspace, Inc.'s Interim Chief Executive Officer from November 2021 to November 2022 and has served as Chairman of the Talkspace, Inc. board of directors since the consummation of the Business Combination. Mr. Braunstein is the Founder and a Managing Partner of Hudson Executive Capital, and is Vice Chairman at Wells Fargo &amp; Company, where he has served since February 2024.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 Investment Banking, as well as serving on the Investment Bank Management Committee for over ten years. We believe that Mr. Braunstein is qualified to serve as a member of our board of directors due to his extensive financial background, including service as chief financial officer, experience as a director and knowledge of the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Curtis Warfield.</w:t>
      </w:r>
      <w:r>
        <w:rPr>
          <w:rFonts w:ascii="Times New Roman" w:hAnsi="Times New Roman"/>
          <w:color w:val="000000"/>
          <w:sz w:val="20"/>
        </w:rPr>
        <w:t xml:space="preserve"> Mr. Warfield has served as a member of Talkspace, Inc.’s board of directors since the consummation of the Business Combination. Since August 2016, Mr. Warfield has served as founder, President and Chief Executive Officer of Windham Advisors LLC, a private equity and strategic advisory firm that offers innovative business solutions for companies in the healthcare, real estate, logistics and other industries. In addition, Mr. Warfield has served as Managing Partner of Aligned Health Venture since October 2022. Mr. Warfield previously served as part of the senior leadership team of Anthem, Inc., one of the nation’s largest health insurers from August 2017 to November 2019. From 2000 until 2015, Mr. Warfield served as CEO of NPAS, a healthcare services company. Since August 2018, Mr. Warfield has served on the board of directors of Texas Roadhouse, Inc., a restaurant company, and has served on the board of OneOncology (2021-2023), before the sale to Amerisource Bergen (NYSE:ABC), a company that invests in and collaborates with community oncology practices and served as Chair of the Audit Committee. Mr. Warfield holds a B.S. from the University of Louisville, Kentucky and is a Certified Public Accountant. We believe that Mr. Warfield is qualified to serve as a member of our board of directors due to his extensive experience as an executive of healthcare companies and his service as a director of a public company.</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Erez Shachar. </w:t>
      </w:r>
      <w:r>
        <w:rPr>
          <w:rFonts w:ascii="Times New Roman" w:hAnsi="Times New Roman"/>
          <w:color w:val="000000"/>
          <w:sz w:val="20"/>
        </w:rPr>
        <w:t xml:space="preserve">Mr. Shachar has served as a member of Talkspace, Inc.'s board of directors since August 2017. Mr. Shachar is the co-founder and managing partner of Qumra Capital Management Ltd., a venture capital firm founded in 2014. Since 2004, Mr. Shachar has also served as managing partner of Evergreen Venture Partners Ltd., a venture capital firm, focusing on investment opportunities in technology companies. Mr. Shachar currently serves as a member of the board of directors of several private companies. Mr. Shachar holds a B.Sc from Tel Aviv University in Israel and M.B.A. from the INSEAD Business School. We believe that Mr. Shachar is qualified to serve as a member of our board of directors due to his extensive experience as an investor in many technology, high-growth, companies and his service as a director of several public and private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both"/>
        <w:rPr>
          <w:rFonts w:ascii="Times New Roman" w:hAnsi="Times New Roman"/>
          <w:sz w:val="20"/>
        </w:rPr>
      </w:pPr>
      <w:r>
        <w:rPr>
          <w:rFonts w:ascii="Times New Roman" w:hAnsi="Times New Roman"/>
          <w:b/>
          <w:i/>
          <w:color w:val="000000"/>
          <w:sz w:val="20"/>
        </w:rPr>
        <w:t>Jacqueline Yeaney.</w:t>
      </w:r>
      <w:r>
        <w:rPr>
          <w:rFonts w:ascii="Times New Roman" w:hAnsi="Times New Roman"/>
          <w:color w:val="000000"/>
          <w:sz w:val="20"/>
        </w:rPr>
        <w:t xml:space="preserve"> Ms. Yeaney has served as a member of Talkspace, Inc.’s board of directors since the consummation of the Business Combination. From August 2019 until August 2022, Ms. Yeaney served as the Chief Marketing Officer at Tableau Software, LLC, a self-service analytics platform owned by Salesforce (NYSE: CRM). From January 2017 until April 2019, Ms. Yeaney was the Chief Marketing Officer of Ellucian Inc., a provider of software and services for higher education management, and from May 2011 until December 2016, was the Executive Vice President of Strategy and Marketing of Red Hat, Inc, a provider of open source software solutions now owned by IBM. Ms. Yeaney started her career as an officer in the U.S. Air Force, and then spent six years (1996-2002) as a management consultant at the Boston Consulting Group. Ms. Yeaney has served as a board member of Avaya Holdings Corp., a provider of digital communications products, solutions and services, from March 2019 until May 2023. Ms. Yeaney holds a B.S. in electrical engineering from Rensselaer Polytechnic Institute and an M.B.A. from the Massachusetts Institute of Technology. We believe that Ms. Yeaney is qualified to serve as a member of our board of directors due to her extensive experience as an executive of high-growth technology companies, her extensive experience as a management consultant and her experience as a board member of a public company.</w:t>
      </w:r>
    </w:p>
    <w:p>
      <w:pPr>
        <w:pStyle w:val="TextBody"/>
        <w:bidi w:val="0"/>
        <w:spacing w:before="240" w:after="283"/>
        <w:jc w:val="both"/>
        <w:rPr>
          <w:rFonts w:ascii="Times New Roman" w:hAnsi="Times New Roman"/>
          <w:sz w:val="20"/>
        </w:rPr>
      </w:pPr>
      <w:r>
        <w:rPr>
          <w:rFonts w:ascii="Times New Roman" w:hAnsi="Times New Roman"/>
          <w:b/>
          <w:i/>
          <w:color w:val="000000"/>
          <w:sz w:val="20"/>
        </w:rPr>
        <w:t>Madhu Pawar.</w:t>
      </w:r>
      <w:r>
        <w:rPr>
          <w:rFonts w:ascii="Times New Roman" w:hAnsi="Times New Roman"/>
          <w:color w:val="000000"/>
          <w:sz w:val="20"/>
        </w:rPr>
        <w:t xml:space="preserve"> Ms. Pawar has served as a member of Talkspace, Inc.’s board of directors since the consummation of the Business Combination. Ms. Pawar is the SVP of Consumer Innovation, Optum at United Healthcare, where she has served since January 2024, and is the Adjunct Professor of Analytics in Healthcare at Carnegie Mellon University, where she has served since 2020. Prior to joining United Healthcare, Ms. Pawar worked as a Managing Director at Google LLC for five years where she managed the sales analytics and solutions organizations that drove the small and medium business (SMB) Adwords business, with a focus on machine learning and user experience. Ms. Pawar worked at McKinsey &amp; Company for 12 years where she was a Partner in the healthcare systems and services practice. She began her career in software development as part of the Mobile Technologies division of Hewlett Packard’s Research &amp; Development Labs in Singapore. Ms. Pawar has previously served on the board of directors of Mensa Singapore and GirlVentures, a not-for-profit organization. Ms. Pawar holds a Master’s degree in Information Systems Management from Carnegie Mellon University and a Bachelor’s degree in Computer Science from Nanyang Technological University, Singapore. We believe that Ms. Pawar is qualified to serve as a member of our board of directors due to her extensive experience as an executive of high-growth technology companies and her extensive experience as a management consultant in the healthcare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Michael Hansen.</w:t>
      </w:r>
      <w:r>
        <w:rPr>
          <w:rFonts w:ascii="Times New Roman" w:hAnsi="Times New Roman"/>
          <w:color w:val="000000"/>
          <w:sz w:val="20"/>
        </w:rPr>
        <w:t xml:space="preserve"> Mr. Hansen has served as a member of Talkspace, Inc.’s board of directors since September 2022. Mr. Hansen has served as Chief Executive Officer of Cengage Group, a global edtech company providing affordable, quality digital products and services that enable student choice, since 2012. Mr. Hansen has deep experience leading organizations through digital transformation. Under his leadership, the more than 100-year-old Cengage has transformed from a traditional print publisher into an education technology company advancing learning through quality digital experiences. Prior to joining Cengage Group, Mr. Hansen served in the CEO position in a variety of large media and information services companies. Earlier in his career, Mr. Hansen was the lead partner and Chairman of the digital convergence practice at the Boston Consulting Group. He was named one of Fast Company’s Most Creative People in Business (2020) for his leadership tackling higher education affordability with the launch of Cengage Unlimited, the first all-access subscription platform for the course materials market. He has twice been recognized as a top CEO by Glassdoor (2018 and 2019). Mr. Hansen is currently a member of the Business Advisory Council for ProPublica, an independent non-profit producer of investigative journalism. Mr. Hansen earned a Master of Law degree from the University of Bonn and a Master of Business Administration degree from Columbia University. We believe that Mr. Hansen is qualified to serve as a member of our Board due to his extensive board and management experience, including as CEO of and consultant to a variety of technology companies focused on consumer choice and alternative distribution platforms. </w:t>
      </w:r>
    </w:p>
    <w:p>
      <w:pPr>
        <w:pStyle w:val="TextBody"/>
        <w:bidi w:val="0"/>
        <w:spacing w:before="240" w:after="283"/>
        <w:jc w:val="both"/>
        <w:rPr>
          <w:rFonts w:ascii="Times New Roman" w:hAnsi="Times New Roman"/>
          <w:sz w:val="20"/>
        </w:rPr>
      </w:pPr>
      <w:r>
        <w:rPr>
          <w:rFonts w:ascii="Times New Roman" w:hAnsi="Times New Roman"/>
          <w:b/>
          <w:i/>
          <w:color w:val="000000"/>
          <w:sz w:val="20"/>
        </w:rPr>
        <w:t>Swati Abbott.</w:t>
      </w:r>
      <w:r>
        <w:rPr>
          <w:rFonts w:ascii="Times New Roman" w:hAnsi="Times New Roman"/>
          <w:color w:val="000000"/>
          <w:sz w:val="20"/>
        </w:rPr>
        <w:t xml:space="preserve"> Ms. Abbott has served as a member of Talkspace, Inc.’s board of directors since December 2023. Ms. Abbott is an independent consultant and has served as a board member at Ensign Group, Inc. (ENSG), a company providing post-acute care since January 2020. Ms. Abbott also served on the board of Magellan Health, Inc. (MGLN) from May 2018 until Magellan’s acquisition by Centene in January 2022. Ms. Abbott previously served as the Chief Executive Officer of Blue Health Intelligence (“BHI”) for eleven years (from May 2011 until April 2022), where she led their initiatives to leverage data insights to develop innovative analytics solutions. Prior to joining BHI, Ms. Abbott served as the President of MEDai, a Reed Elsevier company and leading predictive analytics company that assists healthcare payers and providers. Prior to joining MEDai, Ms. Abbott served in multiple roles where she led strategic solutions development for medical management data warehousing, quality assurance and risk management, among other areas. Ms. Abbott holds a Bachelor of Science degree in physics from Delhi University, India. We believe that Ms. Abbott is qualified to serve as a member of our board of directors due to her deep experience leading organizations through data insights and analytical transformations and her extensive leadership experience in the healthcare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sz w:val="20"/>
        </w:rPr>
      </w:pPr>
      <w:r>
        <w:rPr>
          <w:rFonts w:ascii="Times New Roman" w:hAnsi="Times New Roman"/>
          <w:b/>
          <w:i/>
          <w:color w:val="000000"/>
          <w:sz w:val="20"/>
        </w:rPr>
        <w:t>Liat Ben-Zur.</w:t>
      </w:r>
      <w:r>
        <w:rPr>
          <w:rFonts w:ascii="Times New Roman" w:hAnsi="Times New Roman"/>
          <w:color w:val="000000"/>
          <w:sz w:val="20"/>
        </w:rPr>
        <w:t xml:space="preserve"> Ms. Ben-Zur has served as a member of Talkspace, Inc.’s board of directors since December 2023. Ms. Ben-Zur has served as an Entrepreneur in Residence at Storm Ventures, a venture firm that specializes in building enterprise leaders, since April 2023 and as CEO and Managing Director of LBZ Advisory LLC, a consulting firm that specializes in AI strategy, product-led growth and product management coaching, since May 2023. She has also served as a board member at Splashtop Inc., a company providing a range of zero trust, secure remote-desktop software and remote support software, since January 2024, as an advisory board member at WestRiver Group, an investment company that invests in early and growth stage businesses and concepts, since January 2024, as a non-Executive Director at Compass Group, which is a food and support services company that provides a wide range of innovative dining solutions, and at Syndio, which provides technology and expert guidance to sustain workplace equity, since December 2023. Prior to this, she served as Corporate Vice President, Consumer Services at Microsoft from September 2018 to May 2023 and as Senior Vice President at Royal Philips from October 2014 to August 2018, where she led digital initiatives. Ms. Ben-Zur holds a Bachelor of Science degree in Electrical Engineering from the University of California, Davis and a Masters of Business Administration from the University of California, Los Angeles Anderson School of Management. We believe that Ms. Ben-Zur is qualified to serve as a member of our board of directors due to her expertise in mobile, IoT, and artificial intelligence and extensive experience in disruptive technologies and product-led growth. </w:t>
      </w:r>
    </w:p>
    <w:p>
      <w:pPr>
        <w:pStyle w:val="TextBody"/>
        <w:bidi w:val="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are no family relationships among our directors and executive officers.</w:t>
      </w:r>
    </w:p>
    <w:p>
      <w:pPr>
        <w:pStyle w:val="TextBody"/>
        <w:bidi w:val="0"/>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We have adopted a Code of Business Conduct and Ethics that applies to all of our directors, our CEO, CFO, other officers and employees. A copy of the code is available on our website at </w:t>
      </w:r>
      <w:r>
        <w:rPr>
          <w:rFonts w:ascii="Times New Roman" w:hAnsi="Times New Roman"/>
          <w:i/>
          <w:color w:val="000000"/>
          <w:sz w:val="20"/>
        </w:rPr>
        <w:t>www.talkspace.com</w:t>
      </w:r>
      <w:r>
        <w:rPr>
          <w:rFonts w:ascii="Times New Roman" w:hAnsi="Times New Roman"/>
          <w:color w:val="000000"/>
          <w:sz w:val="20"/>
        </w:rPr>
        <w:t xml:space="preserve"> in the “Governance” section of the “Investors” page. We expect that any amendments to the code, or any waivers of its requirements, that are required to be disclosed by SEC rules or Nasdaq Rules will be disclosed on our website.</w:t>
      </w:r>
    </w:p>
    <w:p>
      <w:pPr>
        <w:pStyle w:val="TextBody"/>
        <w:bidi w:val="0"/>
        <w:jc w:val="left"/>
        <w:rPr>
          <w:rFonts w:ascii="Times New Roman" w:hAnsi="Times New Roman"/>
          <w:b/>
          <w:color w:val="000000"/>
          <w:sz w:val="20"/>
        </w:rPr>
      </w:pPr>
      <w:r>
        <w:rPr>
          <w:rFonts w:ascii="Times New Roman" w:hAnsi="Times New Roman"/>
          <w:b/>
          <w:color w:val="000000"/>
          <w:sz w:val="20"/>
        </w:rPr>
        <w:t>AUDIT COMMITTEE AND AUDIT COMMITTEE FINANCIAL EXPERT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 separately-designated standing audit committee (“Audit Committee”) that consists of Curtis Warfield, Michael Hansen, Swati Abbott, Liat Ben-Zur, and Jacqueline Yeaney, with Curtis Warfield serving as the chair of the Audit Committee. Our board of directors has determined that all members of the Audit Committee (Curtis Warfield, Michael Hansen, Swati Abbott, Liat Ben-Zur, and Jacqueline Yeaney) are independent directors under the Nasdaq rules and the additional independence standards applicable to audit committee members established pursuant to Rule 10A-3 under the Exchange Act. Our board of directors has also determined that each of Curtis Warfield, Michael Hansen, Swati Abbott, Liat Ben-Zur, and Jacqueline Yeaney meets the “financial literacy” requirement for audit committee members under the Nasdaq Stock Market rules and Curtis Warfield is an “audit committee financial expert” within the meaning of the SEC rules.</w:t>
      </w:r>
    </w:p>
    <w:p>
      <w:pPr>
        <w:pStyle w:val="TextBody"/>
        <w:bidi w:val="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2025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2025 other than the following forms that were inadvertently filed late: (i) one Form 4 for Jacqueline Yeaney reporting one transaction late; (ii) one Form 4 for Katelyn Watson reporting one transaction late; (iii) one Form 4 for John Reilly reporting one transaction late; and (iv) two Form 4s for Gil Margolin reporting two transactions late.</w:t>
      </w:r>
    </w:p>
    <w:p>
      <w:pPr>
        <w:pStyle w:val="TextBody"/>
        <w:bidi w:val="0"/>
        <w:jc w:val="both"/>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35" w:after="283"/>
        <w:jc w:val="both"/>
        <w:rPr>
          <w:rFonts w:ascii="Times New Roman" w:hAnsi="Times New Roman"/>
          <w:color w:val="000000"/>
          <w:sz w:val="20"/>
        </w:rPr>
      </w:pPr>
      <w:r>
        <w:rPr>
          <w:rFonts w:ascii="Times New Roman" w:hAnsi="Times New Roman"/>
          <w:color w:val="000000"/>
          <w:sz w:val="20"/>
        </w:rPr>
        <w:t xml:space="preserve">During the fiscal year ended December 31, 2025, the members of our Compensation Committee were Swati Abbott, Michael Hansen, Erez Shachar and Curtis Warfield, with Erez Shachar serving as chair. Each member of our Compensation Committee meets the requirements for independence under the current Nasdaq Rules, including the Nasdaq Rules applicable to compensation committee membership. None of the members of our Compensation Committee is a current or former employee or served on the board of directors of any other company, any of whose executive officers served on the Company’s Compensation Committee or its Board.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2"/>
        </w:rPr>
      </w:pPr>
      <w:bookmarkStart w:id="4" w:name="item_11_executive_compensation"/>
      <w:bookmarkEnd w:id="4"/>
      <w:r>
        <w:rPr>
          <w:rFonts w:ascii="Times New Roman" w:hAnsi="Times New Roman"/>
          <w:b/>
          <w:color w:val="000000"/>
          <w:sz w:val="22"/>
        </w:rPr>
        <w:t>Item 11. EXECUTIVE COMPENSATION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COMPENSATION DISCUSSION AND ANALYSIS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this section, we provide an overview and analysis of the compensation awarded to or earned by our named executive officers identified in the Summary Compensation Table below (each, an “NEO”) during fiscal 2025, including the elements of our compensation program for NEOs, material compensation decisions made under that program for fiscal 2025 and the material factors considered in making those decisions.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NEOs for the year ended December 31, 2025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Jon Cohen,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Ian Harris, our Chief Financial Officer;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Gil Margolin, our Chief Technology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Reilly, our Chief Legal Officer and EVP Gov't Relations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Katelyn Watson, our Chief Marketing Officer</w:t>
      </w:r>
    </w:p>
    <w:p>
      <w:pPr>
        <w:pStyle w:val="TextBody"/>
        <w:bidi w:val="0"/>
        <w:spacing w:before="240" w:after="180"/>
        <w:jc w:val="left"/>
        <w:rPr>
          <w:rFonts w:ascii="Times New Roman" w:hAnsi="Times New Roman"/>
          <w:sz w:val="20"/>
        </w:rPr>
      </w:pPr>
      <w:r>
        <w:rPr>
          <w:rFonts w:ascii="Times New Roman" w:hAnsi="Times New Roman"/>
          <w:b/>
          <w:color w:val="000000"/>
          <w:sz w:val="20"/>
        </w:rPr>
        <w:t>Compensation Governance and Best Practices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committed to having strong governance standards with respect to our compensation programs, procedures and practices. Our key compensation practices include the following: </w:t>
      </w:r>
    </w:p>
    <w:tbl>
      <w:tblPr>
        <w:tblW w:w="10205" w:type="dxa"/>
        <w:jc w:val="left"/>
        <w:tblInd w:w="0" w:type="dxa"/>
        <w:tblLayout w:type="fixed"/>
        <w:tblCellMar>
          <w:top w:w="28" w:type="dxa"/>
          <w:left w:w="28" w:type="dxa"/>
          <w:bottom w:w="28" w:type="dxa"/>
          <w:right w:w="28" w:type="dxa"/>
        </w:tblCellMar>
      </w:tblPr>
      <w:tblGrid>
        <w:gridCol w:w="5694"/>
        <w:gridCol w:w="146"/>
        <w:gridCol w:w="4365"/>
      </w:tblGrid>
      <w:tr>
        <w:trPr/>
        <w:tc>
          <w:tcPr>
            <w:tcW w:w="5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5" w:type="dxa"/>
            <w:tcBorders/>
            <w:vAlign w:val="center"/>
          </w:tcPr>
          <w:p>
            <w:pPr>
              <w:pStyle w:val="TableContents"/>
              <w:bidi w:val="0"/>
              <w:spacing w:before="0" w:after="283"/>
              <w:jc w:val="left"/>
              <w:rPr>
                <w:sz w:val="4"/>
                <w:szCs w:val="4"/>
              </w:rPr>
            </w:pPr>
            <w:r>
              <w:rPr>
                <w:sz w:val="4"/>
                <w:szCs w:val="4"/>
              </w:rPr>
            </w:r>
          </w:p>
        </w:tc>
      </w:tr>
      <w:tr>
        <w:trPr/>
        <w:tc>
          <w:tcPr>
            <w:tcW w:w="5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What we do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What We Do Not Do</w:t>
            </w:r>
            <w:r>
              <w:rPr>
                <w:rFonts w:ascii="Times New Roman" w:hAnsi="Times New Roman"/>
                <w:color w:val="000000"/>
                <w:sz w:val="16"/>
              </w:rPr>
              <w:t xml:space="preserve"> </w:t>
            </w:r>
          </w:p>
        </w:tc>
      </w:tr>
      <w:tr>
        <w:trPr/>
        <w:tc>
          <w:tcPr>
            <w:tcW w:w="5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Emphasize the use of equity compensation to promote executive retention and reward long-term value creation.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Do not guarantee annual salary increases. </w:t>
            </w:r>
          </w:p>
        </w:tc>
      </w:tr>
      <w:tr>
        <w:trPr/>
        <w:tc>
          <w:tcPr>
            <w:tcW w:w="5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 the overall pay mix towards incentive compensation for senior executives.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Do not grant uncapped cash incentives or guaranteed equity compensation. </w:t>
            </w:r>
          </w:p>
        </w:tc>
      </w:tr>
      <w:tr>
        <w:trPr/>
        <w:tc>
          <w:tcPr>
            <w:tcW w:w="5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Engage an independent compensation consultant to advise our Compensation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Do not provide significant perquisites. </w:t>
            </w:r>
          </w:p>
        </w:tc>
      </w:tr>
      <w:tr>
        <w:trPr/>
        <w:tc>
          <w:tcPr>
            <w:tcW w:w="5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rigorous stock ownership guidelines and a clawback policy.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Generally do not provide any compensation-related tax gross-up.</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Executive Compensation Objectives and Philosophy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key objective in our executive compensation program is to attract, motivate, and reward leaders who create an inclusive and diverse environment and have the skills and experience necessary to successfully execute on our strategic plan to maximize stockholder value. Our executive compensation program is designed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and retain talented and experienced executives in a competitive and dynamic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Motivate our NEOs to help our company achieve the best possible financial and operational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reward opportunities consistent with our performance on both a short-term and long-term basis that are industry competitive, flexible, fiscally responsible, and linked to our overall business objectives;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Align the long-term interests of our NEOs with those of our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rFonts w:ascii="Times New Roman" w:hAnsi="Times New Roman"/>
          <w:i/>
          <w:color w:val="000000"/>
          <w:sz w:val="20"/>
        </w:rPr>
        <w:t>Determination of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Determination of 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Role of Board of Directors, the Compensation Committee, and Executive Officers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Compensation Committee is responsible for establishing and overseeing our executive compensation programs and will annually review and recommend to the Board for approval the compensation to be provided to our executive officers.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setting executive compensation, the Compensation Committee will consider a number of factors, including the recommendations of our Chief Executive Officer (other than with respect to the Chief Executive Officer’s own compensation) and our human resources team, current and past total compensation, competitive market data and analysis provided by the Compensation Committee’s independent compensation consultant, Company performance and each executive’s impact on performance, each executive’s relative scope of responsibility and potential, each executive’s individual performance and demonstrated leadership, and internal equity pay considerations. Our Chief Executive Officer’s recommendations are based on his evaluation of each other executive officer’s individual performance and contributions, of which our Chief Executive Officer has direct knowledge. Decisions with respect to our Chief Executive Officer’s compensation are made without the presence of management. Our Board makes decisions regarding our Chief Executive Officer’s and other executive officers’ compensation, following recommendations from the Compensation Committee. </w:t>
      </w:r>
    </w:p>
    <w:p>
      <w:pPr>
        <w:pStyle w:val="TextBody"/>
        <w:bidi w:val="0"/>
        <w:jc w:val="both"/>
        <w:rPr>
          <w:rFonts w:ascii="Times New Roman" w:hAnsi="Times New Roman"/>
          <w:b/>
          <w:i/>
          <w:color w:val="000000"/>
          <w:sz w:val="20"/>
        </w:rPr>
      </w:pPr>
      <w:r>
        <w:rPr>
          <w:rFonts w:ascii="Times New Roman" w:hAnsi="Times New Roman"/>
          <w:b/>
          <w:i/>
          <w:color w:val="000000"/>
          <w:sz w:val="20"/>
        </w:rPr>
        <w:t>Role of Compensation Consultant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order to design a competitive executive compensation program that will continue to attract top executive talent and reflect our compensation philosophy, the Compensation Committee retained Meridian as an independent compensation consultant to provide executive compensation advisory services, help evaluate our compensation philosophy and objectives and provide guidance in designing, maintaining, and administering our executive compensation program. The Compensation Committee evaluated Meridian’s independence pursuant to the requirements of Nasdaq Rules and SEC rules and determined that Meridian does not have any conflicts of interest in advising the Compensation Committee. Meridian did not provide any other services to the Company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Compensation Committee may also refer to compensation survey data when making decisions related to our compensation programs.</w:t>
      </w:r>
    </w:p>
    <w:p>
      <w:pPr>
        <w:pStyle w:val="TextBody"/>
        <w:bidi w:val="0"/>
        <w:jc w:val="both"/>
        <w:rPr>
          <w:rFonts w:ascii="Times New Roman" w:hAnsi="Times New Roman"/>
          <w:b/>
          <w:i/>
          <w:color w:val="000000"/>
          <w:sz w:val="20"/>
        </w:rPr>
      </w:pPr>
      <w:r>
        <w:rPr>
          <w:rFonts w:ascii="Times New Roman" w:hAnsi="Times New Roman"/>
          <w:b/>
          <w:i/>
          <w:color w:val="000000"/>
          <w:sz w:val="20"/>
        </w:rPr>
        <w:t>Say-on-Pay Vote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considered the results of the advisory shareholder vote on executive compensation at our 2025 annual meeting of shareholders at which the executive compensation program for our NEOs as disclosed in the proxy statement for that meeting was approved by approximately 91% of the votes cast.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Elements of Compensation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primary elements of our NEOs’ compensation and the main objectives of each are: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Base Salary</w:t>
      </w:r>
      <w:r>
        <w:rPr>
          <w:rFonts w:ascii="Times New Roman" w:hAnsi="Times New Roman"/>
          <w:color w:val="000000"/>
          <w:sz w:val="20"/>
        </w:rPr>
        <w:t>. Base salary attracts and retains talented executives, recognizes individual roles and responsibilities, and provides compensation in respect of an executive’s day-to-day responsibilities;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Annual Cash Incentive Compensation</w:t>
      </w:r>
      <w:r>
        <w:rPr>
          <w:rFonts w:ascii="Times New Roman" w:hAnsi="Times New Roman"/>
          <w:color w:val="000000"/>
          <w:sz w:val="20"/>
        </w:rPr>
        <w:t>. Annual bonuses promote short-term performance objectives and reward executives for their contributions to Company performance;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Equity Based Long-Term Incentive Compensation</w:t>
      </w:r>
      <w:r>
        <w:rPr>
          <w:rFonts w:ascii="Times New Roman" w:hAnsi="Times New Roman"/>
          <w:color w:val="000000"/>
          <w:sz w:val="20"/>
        </w:rPr>
        <w:t>. Equity compensation, provided in the form of stock options and restricted stock units ("RSUs"), aligns executives’ interests with our stockholders’ interests, emphasizes long-term financial and operational performance, and helps retain executive talent.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our NEOs are eligible to participate in our health and welfare programs and our 401(k) plan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2025 is described further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Base Salary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salaries of our NEOs are an important part of their total compensation package, and are intended to reflect their respective positions, duties and responsibilities. Base salaries provide our NEOs with a reasonable degree of financial certainty and stability. Our Compensation Committee intends to annually review and determine the base salaries of our executives and evaluate the base salaries of new hires at the time of hire.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NEOs’ base salaries as of December 31, 2025 are set forth below:</w:t>
      </w:r>
    </w:p>
    <w:p>
      <w:pPr>
        <w:pStyle w:val="TextBody"/>
        <w:bidi w:val="0"/>
        <w:jc w:val="both"/>
        <w:rPr/>
      </w:pPr>
      <w:r>
        <w:rPr/>
        <w:t> </w:t>
      </w:r>
    </w:p>
    <w:tbl>
      <w:tblPr>
        <w:tblW w:w="4523" w:type="dxa"/>
        <w:jc w:val="left"/>
        <w:tblInd w:w="0" w:type="dxa"/>
        <w:tblLayout w:type="fixed"/>
        <w:tblCellMar>
          <w:top w:w="28" w:type="dxa"/>
          <w:left w:w="28" w:type="dxa"/>
          <w:bottom w:w="28" w:type="dxa"/>
          <w:right w:w="28" w:type="dxa"/>
        </w:tblCellMar>
      </w:tblPr>
      <w:tblGrid>
        <w:gridCol w:w="1426"/>
        <w:gridCol w:w="146"/>
        <w:gridCol w:w="587"/>
        <w:gridCol w:w="2173"/>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Annualized Base Salary at Year-End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 Margolin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Reilly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Katelyn Watson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Incentive Compensation</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We consider annual cash incentive bonuses to be an important component of our total compensation program and providing incentives necessary to retain executive officers. Each NEO is eligible to receive an annual performance-based cash bonus based on a specified target annual bonus award amount, expressed as a percentage of the NEO’s base salary. As of December 31, 2025, target bonuses were as follows:</w:t>
      </w:r>
    </w:p>
    <w:tbl>
      <w:tblPr>
        <w:tblW w:w="5623" w:type="dxa"/>
        <w:jc w:val="left"/>
        <w:tblInd w:w="0" w:type="dxa"/>
        <w:tblLayout w:type="fixed"/>
        <w:tblCellMar>
          <w:top w:w="28" w:type="dxa"/>
          <w:left w:w="28" w:type="dxa"/>
          <w:bottom w:w="28" w:type="dxa"/>
          <w:right w:w="28" w:type="dxa"/>
        </w:tblCellMar>
      </w:tblPr>
      <w:tblGrid>
        <w:gridCol w:w="1951"/>
        <w:gridCol w:w="146"/>
        <w:gridCol w:w="823"/>
        <w:gridCol w:w="2387"/>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 (as a Percentage of Base Salary)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 Margolin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Reilly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Katelyn Watson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2025 annual bonus program, each NEO was eligible to receive a percentage of the NEO’s target bonus opportunity, ranging from 50% to 100%, as determined by our Chief Executive Officer (other than with respect to his own compensation) and the Board in their discretion based upon individual and Company performance in 2025. Each NEO who was eligible for a 2025 annual bonus, was ultimately awarded an annual bonus at 92% of target. In making this determination, our Chief Executive Officer (other than with respect to his own compensation) and the Board considered various indicators of Company and individual performance.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Equity-Based Long-Term Incentive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the interest of executives with those of our stockholders. We believe it is essential to provide equity-based compensation to our executive officers in order to link the interests and risks of our executive officers with those of our stockholders, reinforcing our commitment to ensuring a strong linkage between company performance and pay.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2025, we maintained the 2014 Stock Incentive Plan (the “2014 Plan”), which was implemented prior to the closing of the Business Combination. Under the 2014 Plan, we offered awards of stock options to eligible service providers, including our NEOs who were employed by us prior to the Business Combination (i.e., Mr. Reilly and Mr. Margolin). In connection with the closing of the Business Combination and the adoption of the 2021 Incentive Award Plan (the “2021 Plan”), no further awards have been granted under the 2014 Plan; however, any outstanding awards granted under the 2014 Plan will remain outstanding, subject to the terms of the 2014 Plan and any applicable award agreement. Options granted prior to the Business Combination generally vest over four years in 48 equal monthly installments and awards granted following the Business Combination generally vest over four years in 16 equal quarterly installments, in each case subject to continued service; however, new employee grants (both prior to and following the Business Combination) are generally subject to one year of cliff vesting followed by equal monthly or quarterly installments thereafter, as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2025, we granted equity-based compensation under the 2021 Plan to our NEOs in the form of the following grants of stock options and RSUs:</w:t>
      </w:r>
    </w:p>
    <w:p>
      <w:pPr>
        <w:pStyle w:val="TextBody"/>
        <w:bidi w:val="0"/>
        <w:jc w:val="both"/>
        <w:rPr/>
      </w:pPr>
      <w:r>
        <w:rPr/>
        <w:t> </w:t>
      </w:r>
    </w:p>
    <w:tbl>
      <w:tblPr>
        <w:tblW w:w="7035" w:type="dxa"/>
        <w:jc w:val="left"/>
        <w:tblInd w:w="0" w:type="dxa"/>
        <w:tblLayout w:type="fixed"/>
        <w:tblCellMar>
          <w:top w:w="28" w:type="dxa"/>
          <w:left w:w="28" w:type="dxa"/>
          <w:bottom w:w="28" w:type="dxa"/>
          <w:right w:w="28" w:type="dxa"/>
        </w:tblCellMar>
      </w:tblPr>
      <w:tblGrid>
        <w:gridCol w:w="1426"/>
        <w:gridCol w:w="146"/>
        <w:gridCol w:w="550"/>
        <w:gridCol w:w="2945"/>
        <w:gridCol w:w="146"/>
        <w:gridCol w:w="146"/>
        <w:gridCol w:w="234"/>
        <w:gridCol w:w="125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Number of Shares Underlying Stock Options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Number of RSUs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 Margolin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Reilly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Katelyn Watson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The stock options and RSUs vest in sixteen substantially equal installments on a quarterly basis, subject to the NEO’s continued service with the Company through each vesting date.</w:t>
      </w:r>
    </w:p>
    <w:p>
      <w:pPr>
        <w:pStyle w:val="TextBody"/>
        <w:bidi w:val="0"/>
        <w:spacing w:before="180" w:after="283"/>
        <w:jc w:val="both"/>
        <w:rPr>
          <w:rFonts w:ascii="Times New Roman" w:hAnsi="Times New Roman"/>
          <w:sz w:val="20"/>
        </w:rPr>
      </w:pPr>
      <w:r>
        <w:rPr>
          <w:rFonts w:ascii="Times New Roman" w:hAnsi="Times New Roman"/>
          <w:color w:val="000000"/>
          <w:sz w:val="20"/>
        </w:rPr>
        <w:t>Both the option grants and the RSU grants were intended to retain and our NEOs and incentivize them to lead our company to sustained, long-term superior financial and operational performance and were approved following consideration of the factors set forth above under “</w:t>
      </w:r>
      <w:r>
        <w:rPr>
          <w:rFonts w:ascii="Times New Roman" w:hAnsi="Times New Roman"/>
          <w:i/>
          <w:color w:val="000000"/>
          <w:sz w:val="20"/>
        </w:rPr>
        <w:t>Determination of Executive Compensation.”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Retirement Savings, Health and Welfare Benefits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maintain a 401(k) retirement savings plan for our employees, including our NEOs, who satisfy certain eligibility requirements. Our NEOs are eligible to participate in the 401(k) plan on the same terms as other full-time employees. Currently, we match contributions made by participants in the 401(k) plan up to a specified percentage of the employee contributions, and these matching contributions are fully-vested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NEOs, in accordance with our compensation policies.</w:t>
      </w:r>
    </w:p>
    <w:p>
      <w:pPr>
        <w:pStyle w:val="TextBody"/>
        <w:bidi w:val="0"/>
        <w:spacing w:before="240" w:after="283"/>
        <w:jc w:val="both"/>
        <w:rPr>
          <w:rFonts w:ascii="Times New Roman" w:hAnsi="Times New Roman"/>
          <w:sz w:val="20"/>
        </w:rPr>
      </w:pPr>
      <w:r>
        <w:rPr>
          <w:rFonts w:ascii="Times New Roman" w:hAnsi="Times New Roman"/>
          <w:b/>
          <w:i/>
          <w:color w:val="000000"/>
          <w:sz w:val="20"/>
        </w:rPr>
        <w:t>Employee Benefits and Perquisites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All of our full-time employees, including our NEOs, are eligible to participate in our health and welfare plans, including medical, dental and vision benefits, medical and dependent care flexible spending accounts, short-term and long-term disability insurance, and life insurance. We believe the benefits described above are necessary and appropriate to provide a competitive compensation package to our NEOs.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do not currently provide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or recruitment, motivation, or retention purposes. All future practices with respect to perquisites or other personal benefits will be approved by the Compensation Committee. We do not generally provide any tax “gross-ups” to our NEOs.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Severance and Change in Control Arrangements</w:t>
      </w:r>
    </w:p>
    <w:p>
      <w:pPr>
        <w:pStyle w:val="TextBody"/>
        <w:bidi w:val="0"/>
        <w:spacing w:before="180" w:after="283"/>
        <w:jc w:val="both"/>
        <w:rPr>
          <w:rFonts w:ascii="Times New Roman" w:hAnsi="Times New Roman"/>
          <w:sz w:val="20"/>
        </w:rPr>
      </w:pPr>
      <w:r>
        <w:rPr>
          <w:rFonts w:ascii="Times New Roman" w:hAnsi="Times New Roman"/>
          <w:color w:val="000000"/>
          <w:sz w:val="20"/>
        </w:rPr>
        <w:t>The Executive Severance Plan (as amended and restated, the “</w:t>
      </w:r>
      <w:r>
        <w:rPr>
          <w:rFonts w:ascii="Times New Roman" w:hAnsi="Times New Roman"/>
          <w:color w:val="000000"/>
          <w:sz w:val="20"/>
          <w:u w:val="single"/>
        </w:rPr>
        <w:t>Executive Severance Plan</w:t>
      </w:r>
      <w:r>
        <w:rPr>
          <w:rFonts w:ascii="Times New Roman" w:hAnsi="Times New Roman"/>
          <w:color w:val="000000"/>
          <w:sz w:val="20"/>
        </w:rPr>
        <w:t>”), which provides certain of our executives, including our NEOs, with severance benefits and payments upon certain terminations without cause or, following a change in control, resignations for good reason. Our Compensation Committee believes that the Executive Severance Plan is necessary to attract and retain executive talent and is a customary component of executive compensation. In particular, the Executive Severance Plan can mitigate a potential disincentive for our NEOs when they are evaluating a potential acquisition of the Company and can encourage retention through the conclusion of the transaction. The payments and benefits provided under the Executive Severance Plan are designed to be competitive with market practices. A description of the Executive Severance Plan, as well as information on the estimated payments and benefits that our NEOs would have been eligible to receive as of December 31, 2025, is set forth in “</w:t>
      </w:r>
      <w:r>
        <w:rPr>
          <w:rFonts w:ascii="Times New Roman" w:hAnsi="Times New Roman"/>
          <w:i/>
          <w:color w:val="000000"/>
          <w:sz w:val="20"/>
        </w:rPr>
        <w:t>Potential Payments Upon Termination or Change in Control</w:t>
      </w:r>
      <w:r>
        <w:rPr>
          <w:rFonts w:ascii="Times New Roman" w:hAnsi="Times New Roman"/>
          <w:color w:val="000000"/>
          <w:sz w:val="20"/>
        </w:rPr>
        <w:t>”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Policies and Considerations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Clawback Policy</w:t>
      </w:r>
      <w:r>
        <w:rPr>
          <w:rFonts w:ascii="Times New Roman" w:hAnsi="Times New Roman"/>
          <w:color w:val="000000"/>
          <w:sz w:val="20"/>
        </w:rPr>
        <w:t>. We believe in maintaining best practices for our executive compensation program. Consistent with that belief, our board of directors has adopted a “clawback” policy, intended to comply with the listing requirements of NASDAQ, with respect to excess incentive-based cash and equity compensation in the event our publicly disclosed financial statements are required to be restated (as either a "big R" or little "R" restatement due to material noncompliance with any financial reporting requirement. If such a restatement were to occur, the policy would require the Compensation Committee to recover cash incentives, equity awards or other incentive compensation of employees to the extent such compensation would have been reduced if calculated under the restatement, regardless of whether the employee was responsible for the restatement. This clawback policy only applies to incentive-based compensation that vests in whole or in part based on financial performance measures or stock price measures. Additionally, the policy provides the Compensation Committee with the discretion to recover cash incentives, equity awards or other incentive compensation of employees who have engaged in behavior that is intentionally contrary to or in reckless disregard of the employee’s duties to the Company or in material violation of the Company’s code of conduct, any other Company policy, or any law or regulation.</w:t>
      </w:r>
    </w:p>
    <w:p>
      <w:pPr>
        <w:pStyle w:val="TextBody"/>
        <w:bidi w:val="0"/>
        <w:spacing w:before="240" w:after="283"/>
        <w:jc w:val="both"/>
        <w:rPr>
          <w:rFonts w:ascii="Times New Roman" w:hAnsi="Times New Roman"/>
          <w:sz w:val="20"/>
        </w:rPr>
      </w:pPr>
      <w:r>
        <w:rPr>
          <w:rFonts w:ascii="Times New Roman" w:hAnsi="Times New Roman"/>
          <w:b/>
          <w:i/>
          <w:color w:val="000000"/>
          <w:sz w:val="20"/>
        </w:rPr>
        <w:t>Stock Ownership Guidelines</w:t>
      </w:r>
      <w:r>
        <w:rPr>
          <w:rFonts w:ascii="Times New Roman" w:hAnsi="Times New Roman"/>
          <w:color w:val="000000"/>
          <w:sz w:val="20"/>
        </w:rPr>
        <w:t>. Effective June 22, 2021, the Board adopted stock ownership guidelines that are applicable to our executive officers, including our NEOs, and to our non-employee directors. Our executive officers and non-employee directors are expected to satisfy the applicable guidelines based on a base salary or annual retainer multiple, as applicable, within five years of the later of (i) the effective date of the guidelines, and (ii) the date of such individual’s appointment to a position with the Company that is subject to such guidelines, and to hold at least the applicable minimum value in shares of common stock for so long as they are an executive officer or non-employee director, as applicable. We believe that stock ownership guidelines align the interests of our officers and directors with those of our stockholders and encourage long-term management of the Company for the benefit of its stockholders.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Anti-Hedging Policy. </w:t>
      </w:r>
      <w:r>
        <w:rPr>
          <w:rFonts w:ascii="Times New Roman" w:hAnsi="Times New Roman"/>
          <w:color w:val="000000"/>
          <w:sz w:val="20"/>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Insider Trading Compliance Policy. </w:t>
      </w:r>
      <w:r>
        <w:rPr>
          <w:rFonts w:ascii="Times New Roman" w:hAnsi="Times New Roman"/>
          <w:color w:val="000000"/>
          <w:sz w:val="20"/>
        </w:rPr>
        <w:t>We have adopted insider trading policies and procedures applicable to our directors, officers, employees, and other covered persons, and have implemented processes for the company, that we believe are reasonably designed to promote compliance with insider trading laws, rules and regulations, and the Nasdaq Stock Market LLC listing standards. Our Insider Trading Compliance Policy provides that no officer, director or employee or any entities they control may purchase, acquire or sell (or contract to purchase, acquire or sell) any type of security while in possession of material, non-public information relating to the security or the issuer of the security (whether or not the issuer of the security is the Company). This includes a put option, a call option or a short sale, or engaging in hedging transactions, as further described above under “Anti-Hedging Policy.” In addition, the prohibitions under our Insider Trading Compliance Policy do not apply to certain transactions, such as the exercise of stock options and/or the surrender of shares to the Company in payment of the exercise price or in satisfaction of any tax withholding obligations, pursuant to the applicable equity incentive plan or award agreement; such exceptions are only permitted to the extent they do not involve a market sale of the Company’s securities.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Accounting for Share-Based Compensation. </w:t>
      </w:r>
      <w:r>
        <w:rPr>
          <w:rFonts w:ascii="Times New Roman" w:hAnsi="Times New Roman"/>
          <w:color w:val="000000"/>
          <w:sz w:val="20"/>
        </w:rPr>
        <w:t>We follow Financial Accounting Standards Board Accounting Standards Codification Topic 718, (“ASC Topic 718”) for our share-based compensation awards. ASC Topic 718 requires companies to measure the compensation expense for all share-based payment awards made to employees and directors, including stock options and RSUs, based on the grant-date “fair value” of these awards. This calculation is performed for accounting purposes and reported in the compensation tables below, even though our NEOs may never realize any value from their awards.</w:t>
      </w:r>
    </w:p>
    <w:p>
      <w:pPr>
        <w:pStyle w:val="TextBody"/>
        <w:bidi w:val="0"/>
        <w:spacing w:before="240" w:after="283"/>
        <w:jc w:val="both"/>
        <w:rPr>
          <w:rFonts w:ascii="Times New Roman" w:hAnsi="Times New Roman"/>
          <w:sz w:val="20"/>
        </w:rPr>
      </w:pPr>
      <w:r>
        <w:rPr>
          <w:rFonts w:ascii="Times New Roman" w:hAnsi="Times New Roman"/>
          <w:b/>
          <w:i/>
          <w:color w:val="000000"/>
          <w:sz w:val="20"/>
        </w:rPr>
        <w:t>Equity Grant Processes and Timing</w:t>
      </w:r>
      <w:r>
        <w:rPr>
          <w:rFonts w:ascii="Times New Roman" w:hAnsi="Times New Roman"/>
          <w:color w:val="000000"/>
          <w:sz w:val="20"/>
        </w:rPr>
        <w:t xml:space="preserve">. The Compensation Committee does not grant equity awards in anticipation of the release of material nonpublic information (“MNPI”), and the Company does not time the release of MNPI based upon grant dates of equity. Most grants of equity awards to our executive officers, including our NEOs, are made annually on March 1, and such awards are recommended by the Compensation Committee at its regularly scheduled first quarter meeting. Equity awards made to executive officers, including each of our NEOs, are approved by the Compensation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annual equity awards made to other employees, the Compensation Committee approves a budget for equity awards made under the 2021 Plan for the fiscal year, and such awards are issued on the first day of the last month of each quarter based on recommendations from our management team. In the event MNPI becomes known to the Compensation Committee before granting an equity award, the Compensation Committee will consider such information and use its business judgment to determine whether to delay the grant of equity to avoid any appearance of impropriety. The Company did not grant equity awards to any NEO during any period beginning four business days before and ending one business day after the filing of any Company periodic report on Form 10-Q or Form 10-K, or the filing or furnishing of any Company current report on Form 8-K that disclosed any MNPI during fiscal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Compensation Committee Report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current members of our Compensation Committee are Swati Abbott, Michael Hansen, Erez Shachar and Curtis Warfield, with Erez Shachar serving as chair. Each member of our Compensation Committee meets the requirements for independence under the current Nasdaq Rules, including the Nasdaq Rules applicable to compensation committee membership. Each of Swati Abbott, Michael Hansen, Erez Shachar and Curtis Warfield are non-employee directors, as defined in Section 16b-3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Committee has reviewed and discussed the Compensation Discussion and Analysis above with our management. Based on the review and discussions, the Compensation Committee recommended to the Board that the Compensation Discussion and Analysis be included in the Company’s Annual Report on Form 10-K for the fiscal year ended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EXECUTIVE COMPENSATION TABLES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Summary Compensation Table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contains information about the compensation earned by each of our NEOs during fiscal years ended December 31, 2025, 2024 and 2023.</w:t>
      </w:r>
    </w:p>
    <w:tbl>
      <w:tblPr>
        <w:tblW w:w="10205" w:type="dxa"/>
        <w:jc w:val="left"/>
        <w:tblInd w:w="0" w:type="dxa"/>
        <w:tblLayout w:type="fixed"/>
        <w:tblCellMar>
          <w:top w:w="28" w:type="dxa"/>
          <w:left w:w="28" w:type="dxa"/>
          <w:bottom w:w="28" w:type="dxa"/>
          <w:right w:w="28" w:type="dxa"/>
        </w:tblCellMar>
      </w:tblPr>
      <w:tblGrid>
        <w:gridCol w:w="885"/>
        <w:gridCol w:w="146"/>
        <w:gridCol w:w="1464"/>
        <w:gridCol w:w="146"/>
        <w:gridCol w:w="466"/>
        <w:gridCol w:w="146"/>
        <w:gridCol w:w="700"/>
        <w:gridCol w:w="736"/>
        <w:gridCol w:w="947"/>
        <w:gridCol w:w="970"/>
        <w:gridCol w:w="1462"/>
        <w:gridCol w:w="1262"/>
        <w:gridCol w:w="875"/>
      </w:tblGrid>
      <w:tr>
        <w:trPr/>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Salary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Bonus ($)</w:t>
            </w:r>
            <w:r>
              <w:rPr>
                <w:rFonts w:ascii="Times New Roman" w:hAnsi="Times New Roman"/>
                <w:color w:val="000000"/>
                <w:sz w:val="15"/>
              </w:rPr>
              <w:t> </w:t>
            </w:r>
            <w:r>
              <w:rPr>
                <w:rFonts w:ascii="Times New Roman" w:hAnsi="Times New Roman"/>
                <w:b/>
                <w:color w:val="000000"/>
                <w:sz w:val="10"/>
              </w:rPr>
              <w:t>(1)</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Stock Awards ($) </w:t>
            </w:r>
            <w:r>
              <w:rPr>
                <w:rFonts w:ascii="Times New Roman" w:hAnsi="Times New Roman"/>
                <w:b/>
                <w:color w:val="000000"/>
                <w:sz w:val="10"/>
              </w:rPr>
              <w:t>(2)</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Option Awards ($) </w:t>
            </w:r>
            <w:r>
              <w:rPr>
                <w:rFonts w:ascii="Times New Roman" w:hAnsi="Times New Roman"/>
                <w:b/>
                <w:color w:val="000000"/>
                <w:sz w:val="10"/>
              </w:rPr>
              <w:t>(2)</w:t>
            </w:r>
          </w:p>
        </w:tc>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Non-Equity Incentive Plan Compensation </w:t>
            </w:r>
            <w:r>
              <w:rPr>
                <w:rFonts w:ascii="Times New Roman" w:hAnsi="Times New Roman"/>
                <w:b/>
                <w:color w:val="000000"/>
                <w:sz w:val="10"/>
              </w:rPr>
              <w:t>(1)</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All Other Compensation ($) </w:t>
            </w:r>
            <w:r>
              <w:rPr>
                <w:rFonts w:ascii="Times New Roman" w:hAnsi="Times New Roman"/>
                <w:b/>
                <w:color w:val="000000"/>
                <w:sz w:val="10"/>
              </w:rPr>
              <w:t>(3)</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Jon Cohen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55,049</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1,025,828</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1,003,782</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220,197</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26,877</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2,931,733</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98,880</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385,309</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389,059</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395,520</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24,289</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1,893,057</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143,040</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572,160</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22,123</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1,337,323</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Ian Harris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36,699</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533,430</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130,493</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146,798</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35,538</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1,282,958</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233,000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43,947</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800,950</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175,786</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30,598</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1,284,281</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Gil Margolin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Technology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36,699</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196,960</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48,183</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146,798</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45,282</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873,922</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65,920</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197,280</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49,800</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263,680</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31,100</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1,007,780</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95,360</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139,740</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32,068</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381,440</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30,704</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1,079,312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Reilly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Officer and EVP Gov't Relations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15,139</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369,298</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90,341</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60,554</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17,161</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882,493</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27,192</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369,899</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93,376</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108,768</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14,800</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939,035</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38,000</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180,498</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41,421</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152,000</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714,877</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Katelyn Watson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Marketing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16,515</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143,618</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35,134</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66,059</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24,408</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645,734</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29,664</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123,302</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31,126</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118,656</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25,400</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688,148</w:t>
            </w:r>
          </w:p>
        </w:tc>
      </w:tr>
      <w:tr>
        <w:trPr/>
        <w:tc>
          <w:tcPr>
            <w:tcW w:w="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42,912</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72,782</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16,664</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171,648</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26,409</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690,415</w:t>
            </w:r>
          </w:p>
        </w:tc>
      </w:tr>
    </w:tbl>
    <w:p>
      <w:pPr>
        <w:pStyle w:val="TextBody"/>
        <w:bidi w:val="0"/>
        <w:jc w:val="left"/>
        <w:rPr/>
      </w:pPr>
      <w:r>
        <w:rPr/>
        <w:t> </w:t>
      </w:r>
    </w:p>
    <w:p>
      <w:pPr>
        <w:pStyle w:val="TextBody"/>
        <w:bidi w:val="0"/>
        <w:jc w:val="both"/>
        <w:rPr>
          <w:rFonts w:ascii="Times New Roman" w:hAnsi="Times New Roman"/>
          <w:color w:val="000000"/>
          <w:sz w:val="17"/>
        </w:rPr>
      </w:pPr>
      <w:r>
        <w:rPr>
          <w:rFonts w:ascii="Times New Roman" w:hAnsi="Times New Roman"/>
          <w:color w:val="000000"/>
          <w:sz w:val="17"/>
        </w:rPr>
        <w:t>(1) Fiscal 2025 amounts represent discretionary annual bonus and non-equity incentive plan compensation which were paid in March 2026. Fiscal 2024 amounts represent discretionary annual bonus and non-equity incentive plan compensation which were paid in February 2025. Fiscal 2023 amounts represent discretionary annual bonus and non-equity incentive plan compensation which was paid in February 2024. Total payout includes 20% discretionary bonus and 80% non-equity incentive plan compensation. For Fiscal 2025, the NEOs elected to have 50% of their discretionary annual bonus and non-equity incentive plan compensation payout be made in RSUs with a total value of $1.3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color w:val="000000"/>
          <w:sz w:val="17"/>
        </w:rPr>
      </w:pPr>
      <w:r>
        <w:rPr>
          <w:rFonts w:ascii="Times New Roman" w:hAnsi="Times New Roman"/>
          <w:color w:val="000000"/>
          <w:sz w:val="17"/>
        </w:rPr>
        <w:t>(2) Amounts reflect the full grant-date fair value of restricted stock units and stock options granted during fiscal 2025, 2024 and 2023, computed in accordance with ASC Topic 718, rather than the amounts paid to or realized by the named individual. We provide information regarding the assumptions used to calculate the value of all restricted stock units and option awards made to our NEOs in Note 2 and Note 10 to the consolidated financial statements included in the Annual Report on Form 10-K for the year ended December 31, 2025.</w:t>
      </w:r>
    </w:p>
    <w:p>
      <w:pPr>
        <w:pStyle w:val="TextBody"/>
        <w:bidi w:val="0"/>
        <w:jc w:val="both"/>
        <w:rPr/>
      </w:pPr>
      <w:r>
        <w:rPr/>
        <w:t> </w:t>
      </w:r>
    </w:p>
    <w:p>
      <w:pPr>
        <w:pStyle w:val="TextBody"/>
        <w:bidi w:val="0"/>
        <w:jc w:val="both"/>
        <w:rPr>
          <w:rFonts w:ascii="Times New Roman" w:hAnsi="Times New Roman"/>
          <w:color w:val="000000"/>
          <w:sz w:val="17"/>
        </w:rPr>
      </w:pPr>
      <w:r>
        <w:rPr>
          <w:rFonts w:ascii="Times New Roman" w:hAnsi="Times New Roman"/>
          <w:color w:val="000000"/>
          <w:sz w:val="17"/>
        </w:rPr>
        <w:t>(3) Amounts represent matching contributions received under the Company’s 401(k) plan, the employer paid portion of medical premiums, life and accidental insurance, and short-term and long-term disability insurance.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Executive Compensation Arrangements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Named Executive Officer Employment Agreements</w:t>
      </w:r>
    </w:p>
    <w:p>
      <w:pPr>
        <w:pStyle w:val="TextBody"/>
        <w:bidi w:val="0"/>
        <w:spacing w:before="180" w:after="283"/>
        <w:jc w:val="both"/>
        <w:rPr>
          <w:rFonts w:ascii="Times New Roman" w:hAnsi="Times New Roman"/>
          <w:sz w:val="20"/>
        </w:rPr>
      </w:pPr>
      <w:r>
        <w:rPr>
          <w:rFonts w:ascii="Times New Roman" w:hAnsi="Times New Roman"/>
          <w:color w:val="000000"/>
          <w:sz w:val="20"/>
        </w:rPr>
        <w:t>We have entered into employment offer letters (collectively, the “</w:t>
      </w:r>
      <w:r>
        <w:rPr>
          <w:rFonts w:ascii="Times New Roman" w:hAnsi="Times New Roman"/>
          <w:color w:val="000000"/>
          <w:sz w:val="20"/>
          <w:u w:val="single"/>
        </w:rPr>
        <w:t>Employment Agreements</w:t>
      </w:r>
      <w:r>
        <w:rPr>
          <w:rFonts w:ascii="Times New Roman" w:hAnsi="Times New Roman"/>
          <w:color w:val="000000"/>
          <w:sz w:val="20"/>
        </w:rPr>
        <w:t xml:space="preserve">”) with each of our NEOs. The material terms of the Employment Agreements are described below.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Employment Agreements provide for at-will employment without a specified term, provide for participation in the health and welfare benefit plans and programs maintained by us for the benefit of our employees, and provide for annual base salaries and annual target bonus percentages. In addition, the Employment Agreements provide for option and RSU grants under the 2021 Plan in the amounts and subject to the vesting conditions and contain customary confidentiality and assignment of invention provisions, as well as standard non-compete and non-solicit restrictions effective during employment and for 12 months thereafter.</w:t>
      </w:r>
    </w:p>
    <w:p>
      <w:pPr>
        <w:pStyle w:val="TextBody"/>
        <w:bidi w:val="0"/>
        <w:spacing w:before="240" w:after="180"/>
        <w:jc w:val="both"/>
        <w:rPr>
          <w:rFonts w:ascii="Times New Roman" w:hAnsi="Times New Roman"/>
          <w:b/>
          <w:color w:val="000000"/>
          <w:sz w:val="20"/>
        </w:rPr>
      </w:pPr>
      <w:r>
        <w:rPr>
          <w:rFonts w:ascii="Times New Roman" w:hAnsi="Times New Roman"/>
          <w:b/>
          <w:color w:val="000000"/>
          <w:sz w:val="20"/>
        </w:rPr>
        <w:t>2025 Grants of Plan-Based Awards Table</w:t>
      </w:r>
    </w:p>
    <w:tbl>
      <w:tblPr>
        <w:tblW w:w="10205" w:type="dxa"/>
        <w:jc w:val="left"/>
        <w:tblInd w:w="0" w:type="dxa"/>
        <w:tblLayout w:type="fixed"/>
        <w:tblCellMar>
          <w:top w:w="28" w:type="dxa"/>
          <w:left w:w="28" w:type="dxa"/>
          <w:bottom w:w="28" w:type="dxa"/>
          <w:right w:w="28" w:type="dxa"/>
        </w:tblCellMar>
      </w:tblPr>
      <w:tblGrid>
        <w:gridCol w:w="796"/>
        <w:gridCol w:w="602"/>
        <w:gridCol w:w="146"/>
        <w:gridCol w:w="854"/>
        <w:gridCol w:w="625"/>
        <w:gridCol w:w="869"/>
        <w:gridCol w:w="146"/>
        <w:gridCol w:w="850"/>
        <w:gridCol w:w="622"/>
        <w:gridCol w:w="865"/>
        <w:gridCol w:w="146"/>
        <w:gridCol w:w="1016"/>
        <w:gridCol w:w="812"/>
        <w:gridCol w:w="790"/>
        <w:gridCol w:w="1066"/>
      </w:tblGrid>
      <w:tr>
        <w:trPr/>
        <w:tc>
          <w:tcPr>
            <w:tcW w:w="7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under non-equity incentive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under equity incentive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Grant Date</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option awards: number of securities underlying options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stock awards: number of shares of stock or units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 base price of option awards ($/sh)</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Grant date fair value of stock and option awards ($)</w:t>
            </w:r>
            <w:r>
              <w:rPr>
                <w:rFonts w:ascii="Times New Roman" w:hAnsi="Times New Roman"/>
                <w:color w:val="000000"/>
                <w:sz w:val="16"/>
              </w:rPr>
              <w:t> </w:t>
            </w:r>
            <w:r>
              <w:rPr>
                <w:rFonts w:ascii="Times New Roman" w:hAnsi="Times New Roman"/>
                <w:b/>
                <w:color w:val="000000"/>
                <w:sz w:val="11"/>
              </w:rPr>
              <w:t>(2)</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Jon Cohen</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539,088</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358,681</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$1,025,828</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Ian Harris</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70,082</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186,514</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$533,430</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Gil Margolin</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25,877</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68,867</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$196,960</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Reilly</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48,518</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129,125</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$369,298</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Katelyn Watson</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18,869</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3/1/2025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50,216</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$143,618</w:t>
            </w:r>
          </w:p>
        </w:tc>
      </w:tr>
    </w:tbl>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The award was granted under the 2021 Plan was approved on February 28, 2025.</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Amounts reflect the full grant-date fair value of restricted stock units granted during fiscal 2025 computed in accordance with ASC Topic 718, rather than the amounts realized by the named individual. We provide information regarding the assumptions used to calculate the value of all restricted stock units and option awards made to our NEOs in Note 2 and Note 10 to the consolidated financial statements included in the Annual Report on Form 10-K for the year ended December 31, 2025.</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(3)</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These stock options, which were granted under the 2021 Plan, vest and become exercisable in sixteen equal installments on each of the first sixteen quarterly anniversaries of March 1, 2025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(4)</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These RSU awards, which were granted under the 2021 Plan, vest in sixteen equal installments on each of the first sixteen quarterly anniversaries of March 1, 2025, subject to the NEO’s continued employment through each such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the number of shares of common stock underlying outstanding equity incentive plan awards for each NEO as of December 31, 2025:</w:t>
      </w:r>
    </w:p>
    <w:tbl>
      <w:tblPr>
        <w:tblW w:w="10205" w:type="dxa"/>
        <w:jc w:val="left"/>
        <w:tblInd w:w="0" w:type="dxa"/>
        <w:tblLayout w:type="fixed"/>
        <w:tblCellMar>
          <w:top w:w="28" w:type="dxa"/>
          <w:left w:w="28" w:type="dxa"/>
          <w:bottom w:w="28" w:type="dxa"/>
          <w:right w:w="28" w:type="dxa"/>
        </w:tblCellMar>
      </w:tblPr>
      <w:tblGrid>
        <w:gridCol w:w="845"/>
        <w:gridCol w:w="721"/>
        <w:gridCol w:w="146"/>
        <w:gridCol w:w="262"/>
        <w:gridCol w:w="1247"/>
        <w:gridCol w:w="146"/>
        <w:gridCol w:w="286"/>
        <w:gridCol w:w="1358"/>
        <w:gridCol w:w="146"/>
        <w:gridCol w:w="234"/>
        <w:gridCol w:w="504"/>
        <w:gridCol w:w="146"/>
        <w:gridCol w:w="883"/>
        <w:gridCol w:w="146"/>
        <w:gridCol w:w="223"/>
        <w:gridCol w:w="1059"/>
        <w:gridCol w:w="146"/>
        <w:gridCol w:w="289"/>
        <w:gridCol w:w="1220"/>
        <w:gridCol w:w="198"/>
      </w:tblGrid>
      <w:tr>
        <w:trPr/>
        <w:tc>
          <w:tcPr>
            <w:tcW w:w="84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Name</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 Awards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Market Value of Shares or Units of Stock That Have Not Vested ($)</w:t>
            </w:r>
            <w:r>
              <w:rPr>
                <w:rFonts w:ascii="Times New Roman" w:hAnsi="Times New Roman"/>
                <w:b/>
                <w:color w:val="000000"/>
                <w:sz w:val="9"/>
              </w:rPr>
              <w:t>(1)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Jon Cohen</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9/26/2022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9/26/2022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12/1/2022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12/1/2022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3,176,250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263,131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1,057,887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Ian Harris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6/1/2024 </w:t>
            </w: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816,750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550,101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Gil Margolin</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7/15/2021 </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3/1/2022 </w:t>
            </w:r>
            <w:r>
              <w:rPr>
                <w:rFonts w:ascii="Times New Roman" w:hAnsi="Times New Roman"/>
                <w:color w:val="000000"/>
                <w:sz w:val="11"/>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3/1/2022 </w:t>
            </w: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134,724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John Reilly</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8/5/2019 </w:t>
            </w:r>
            <w:r>
              <w:rPr>
                <w:rFonts w:ascii="Times New Roman" w:hAnsi="Times New Roman"/>
                <w:color w:val="000000"/>
                <w:sz w:val="11"/>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8/18/2020 </w:t>
            </w: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7/15/2021</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3/1/2022 </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3/1/2022 </w:t>
            </w:r>
            <w:r>
              <w:rPr>
                <w:rFonts w:ascii="Times New Roman" w:hAnsi="Times New Roman"/>
                <w:color w:val="000000"/>
                <w:sz w:val="11"/>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233,445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252,604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380,841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Katelyn Watson</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12/1/2022 </w:t>
            </w: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3/1/2023 </w:t>
            </w: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3/1/2024 </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3/1/2025 </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7"/>
        </w:rPr>
      </w:pPr>
      <w:r>
        <w:rPr>
          <w:rFonts w:ascii="Times New Roman" w:hAnsi="Times New Roman"/>
          <w:color w:val="000000"/>
          <w:sz w:val="17"/>
        </w:rPr>
        <w:t>(1) Amounts are calculated based on multiplying the number of shares shown in the table by the per share closing price of our common stock on December 31, 2025, which was $3.63.</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(2) These stock options, which were granted under the 2021 Plan, vest and become exercisable in four equal installments on each anniversary of June 22, 2022,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(3) These RSU awards, which were granted under the 2021 Plan, vest over a four-year period on each anniversary of June 22, 2022,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(4) 500,000 stock options, which was granted under the 2021 Plan, vest and becomes exercisable 25% on the one-year anniversary of December 1, 2022 and 75% in twelve equal installments on each of the first twelve quarterly anniversaries of December 1, 2022 thereafter, subject to the NEO’s continued employment through each such vesting date. 400,000 stock options, which were granted under the 2021 Plan, vest in sixteen equal installments on each of the first sixteen quarterly anniversaries of March 1, 2024, subject to the NEO’s continued employment through each such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(5) 1,250,000 RSU awards, which were granted under the 2021 Plan, vest 25% on the one-year anniversary of December 1, 2022 and 75% in twelve equal installments on each of the first twelve quarterly anniversaries of December 1, 2022 thereafter, subject to the NEO’s continued employment through each such vesting date. 1,000,000 RSU awards, which were granted under the 2021 Plan, vest in sixteen equal installments on each of the first sixteen quarterly anniversaries of March 1, 2024, subject to the NEO’s continued employment through each such vesting date.</w:t>
      </w:r>
    </w:p>
    <w:p>
      <w:pPr>
        <w:pStyle w:val="TextBody"/>
        <w:bidi w:val="0"/>
        <w:spacing w:before="120" w:after="283"/>
        <w:jc w:val="both"/>
        <w:rPr>
          <w:rFonts w:ascii="Times New Roman" w:hAnsi="Times New Roman"/>
          <w:sz w:val="20"/>
        </w:rPr>
      </w:pPr>
      <w:r>
        <w:rPr>
          <w:rFonts w:ascii="Times New Roman" w:hAnsi="Times New Roman"/>
          <w:color w:val="000000"/>
          <w:sz w:val="17"/>
        </w:rPr>
        <w:t>(6) These stock options, which were granted under the 2021 Plan, vest and become exercisable in sixteen equal installments on each of the first sixteen quarterly anniversaries of March 1, 2024 thereafter, subject to the NEO’s continued employment through each such vesting date.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7"/>
        </w:rPr>
        <w:t>(7) These RSU awards, which were granted under the 2021 Plan, vest in sixteen equal installments on each of the first sixteen quarterly anniversaries of March 1, 2024, subject to the NEO’s continued employment through each such vesting 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(8) These stock options, which were granted under the 2021 Plan, vest and become exercisable in sixteen equal installments on each of the first sixteen quarterly anniversaries of March 1, 2025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(9) These RSU awards, which were granted under the 2021 Plan, vest in sixteen equal installments on each of the first sixteen quarterly anniversaries of March 1, 2025,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(10) These RSU awards, which were granted under the 2021 Plan, vest over a four-year period on each anniversary of anniversaries of June 1, 2024,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(11) These stock options, which were granted under the 2021 Plan, vest in sixteen equal installments on each of the first sixteen quarterly anniversaries of July 1, 2021,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(12) These stock options, which were granted under the 2021 Plan, vest and become exercisable in sixteen equal installments on each of the first sixteen quarterly anniversaries of March 1, 2022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(13) These RSU awards, which were granted under the 2021 Plan, vest in sixteen equal installments on each of the first sixteen quarterly anniversaries of March 1, 2022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(14) These stock options, which were granted under the 2021 Plan, vest and become exercisable in sixteen equal installments on each of the first sixteen quarterly anniversaries of March 1, 2023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(15) These RSU awards, which were granted under the 2021 Plan, vest in sixteen equal installments on each of the first sixteen quarterly anniversaries of March 1, 2023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(16) These stock options, which were granted under the 2014 Plan, vest and become exercisable 25% on the one-year anniversary September 1, 2019 and 75% in equal monthly installments on each monthly anniversary of September 1, 2020 thereafter, subject to the NEO’s continued employment through each such vesting date.</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(17) These stock options, which were granted under the 2014 Plan, vest and become exercisable in forty-eight equal monthly installments on each monthly anniversary of August 18, 2020, subject to the NEO’s continued employment through each such vesting date.</w:t>
      </w:r>
    </w:p>
    <w:p>
      <w:pPr>
        <w:pStyle w:val="TextBody"/>
        <w:bidi w:val="0"/>
        <w:spacing w:before="120" w:after="283"/>
        <w:jc w:val="both"/>
        <w:rPr>
          <w:rFonts w:ascii="Times New Roman" w:hAnsi="Times New Roman"/>
          <w:sz w:val="20"/>
        </w:rPr>
      </w:pPr>
      <w:r>
        <w:rPr>
          <w:rFonts w:ascii="Times New Roman" w:hAnsi="Times New Roman"/>
          <w:color w:val="000000"/>
          <w:sz w:val="17"/>
        </w:rPr>
        <w:t>(18) These RSU awards, which were granted under the 2021 Plan, vest over a four-year period on each anniversary of December 1, 2022, subject to the NEO’s continued employment through each such vesting 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(19) These stock options, which was granted under the 2021 Plan, vests and becomes exercisable 25% on the one-year anniversary of March 1, 2023 and 75% in twelve equal installments on each of the first twelve quarterly anniversaries of March 1, 2024 thereafter, subject to the NEO’s continued employment through each such vesting date.</w:t>
      </w:r>
    </w:p>
    <w:p>
      <w:pPr>
        <w:pStyle w:val="TextBody"/>
        <w:bidi w:val="0"/>
        <w:spacing w:before="120" w:after="240"/>
        <w:jc w:val="both"/>
        <w:rPr>
          <w:rFonts w:ascii="Times New Roman" w:hAnsi="Times New Roman"/>
          <w:color w:val="000000"/>
          <w:sz w:val="17"/>
        </w:rPr>
      </w:pPr>
      <w:r>
        <w:rPr>
          <w:rFonts w:ascii="Times New Roman" w:hAnsi="Times New Roman"/>
          <w:color w:val="000000"/>
          <w:sz w:val="17"/>
        </w:rPr>
        <w:t>(20) These RSU awards, which were granted under the 2021 Plan, vest 25% on the one-year anniversary of March 1, 2023 and 75% in twelve equal installments on each of the first twelve quarterly anniversaries of March 1, 2024 thereafter, subject to the NEO’s continued employment through each such vesting date.</w:t>
      </w:r>
    </w:p>
    <w:p>
      <w:pPr>
        <w:pStyle w:val="TextBody"/>
        <w:bidi w:val="0"/>
        <w:jc w:val="left"/>
        <w:rPr>
          <w:rFonts w:ascii="Times New Roman" w:hAnsi="Times New Roman"/>
          <w:b/>
          <w:color w:val="000000"/>
          <w:sz w:val="20"/>
        </w:rPr>
      </w:pPr>
      <w:r>
        <w:rPr>
          <w:rFonts w:ascii="Times New Roman" w:hAnsi="Times New Roman"/>
          <w:b/>
          <w:color w:val="000000"/>
          <w:sz w:val="20"/>
        </w:rPr>
        <w:t>2025 Option Exercises and Stock Vested Table</w:t>
      </w:r>
    </w:p>
    <w:p>
      <w:pPr>
        <w:pStyle w:val="TextBody"/>
        <w:bidi w:val="0"/>
        <w:spacing w:before="180" w:after="160"/>
        <w:jc w:val="left"/>
        <w:rPr>
          <w:rFonts w:ascii="Times New Roman" w:hAnsi="Times New Roman"/>
          <w:color w:val="000000"/>
          <w:sz w:val="20"/>
        </w:rPr>
      </w:pPr>
      <w:r>
        <w:rPr>
          <w:rFonts w:ascii="Times New Roman" w:hAnsi="Times New Roman"/>
          <w:color w:val="000000"/>
          <w:sz w:val="20"/>
        </w:rPr>
        <w:t>The following table sets forth information concerning option awards that were exercised during 2025 and stock awards that vested in the same year with respect to the named executive officers.</w:t>
      </w:r>
    </w:p>
    <w:tbl>
      <w:tblPr>
        <w:tblW w:w="10205" w:type="dxa"/>
        <w:jc w:val="left"/>
        <w:tblInd w:w="0" w:type="dxa"/>
        <w:tblLayout w:type="fixed"/>
        <w:tblCellMar>
          <w:top w:w="28" w:type="dxa"/>
          <w:left w:w="28" w:type="dxa"/>
          <w:bottom w:w="28" w:type="dxa"/>
          <w:right w:w="28" w:type="dxa"/>
        </w:tblCellMar>
      </w:tblPr>
      <w:tblGrid>
        <w:gridCol w:w="1093"/>
        <w:gridCol w:w="451"/>
        <w:gridCol w:w="1860"/>
        <w:gridCol w:w="146"/>
        <w:gridCol w:w="452"/>
        <w:gridCol w:w="1388"/>
        <w:gridCol w:w="146"/>
        <w:gridCol w:w="146"/>
        <w:gridCol w:w="401"/>
        <w:gridCol w:w="1902"/>
        <w:gridCol w:w="146"/>
        <w:gridCol w:w="360"/>
        <w:gridCol w:w="1520"/>
        <w:gridCol w:w="194"/>
      </w:tblGrid>
      <w:tr>
        <w:trPr/>
        <w:tc>
          <w:tcPr>
            <w:tcW w:w="109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2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realized on exercise ($)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realized on vesting ($) </w:t>
            </w:r>
            <w:r>
              <w:rPr>
                <w:rFonts w:ascii="Times New Roman" w:hAnsi="Times New Roman"/>
                <w:b/>
                <w:color w:val="000000"/>
                <w:sz w:val="11"/>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Jon Cohen</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2,014,439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Ian Harris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343,930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Gil Margolin</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366,836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Reilly</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Katelyn Watson</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511,351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60"/>
        <w:jc w:val="both"/>
        <w:rPr>
          <w:rFonts w:ascii="Times New Roman" w:hAnsi="Times New Roman"/>
          <w:color w:val="000000"/>
          <w:sz w:val="17"/>
        </w:rPr>
      </w:pPr>
      <w:r>
        <w:rPr>
          <w:rFonts w:ascii="Times New Roman" w:hAnsi="Times New Roman"/>
          <w:color w:val="000000"/>
          <w:sz w:val="17"/>
        </w:rPr>
        <w:t>(1) The aggregate value realized upon the exercise of an option award represents the aggregate market price of the shares based on the official closing price of our common stock on the vesting date (or the preceding trading day if the vesting date was not a trading day), and subtracting the exercise price for the option.</w:t>
      </w:r>
    </w:p>
    <w:p>
      <w:pPr>
        <w:pStyle w:val="TextBody"/>
        <w:bidi w:val="0"/>
        <w:spacing w:before="0" w:after="60"/>
        <w:jc w:val="both"/>
        <w:rPr>
          <w:rFonts w:ascii="Times New Roman" w:hAnsi="Times New Roman"/>
          <w:color w:val="000000"/>
          <w:sz w:val="17"/>
        </w:rPr>
      </w:pPr>
      <w:r>
        <w:rPr>
          <w:rFonts w:ascii="Times New Roman" w:hAnsi="Times New Roman"/>
          <w:color w:val="000000"/>
          <w:sz w:val="17"/>
        </w:rPr>
        <w:t>(2) The aggregate value realized upon the vesting of an RSU represents the aggregate market price of the shares based on the official closing price of our common stock on the vesting date (or the preceding trading day if the vesting date was not a trading day).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Executive Severance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Each of Dr. Cohen, Messrs. Harris, Margolin and Reilly and Ms. Watson participate in the Company’s Executive Severance Plan (which we refer to as the “Severance Plan”), which provides for the following severance payments and benefits in the event of a termination without cause or for good reason (each, as defined in the Severance Plan) (which we refer to as a “qualifying termination”) in connection with a change in control transaction, such as a merger.</w:t>
      </w:r>
    </w:p>
    <w:p>
      <w:pPr>
        <w:pStyle w:val="TextBody"/>
        <w:bidi w:val="0"/>
        <w:jc w:val="both"/>
        <w:rPr>
          <w:rFonts w:ascii="Times New Roman" w:hAnsi="Times New Roman"/>
          <w:color w:val="000000"/>
          <w:sz w:val="20"/>
        </w:rPr>
      </w:pPr>
      <w:r>
        <w:rPr>
          <w:rFonts w:ascii="Times New Roman" w:hAnsi="Times New Roman"/>
          <w:color w:val="000000"/>
          <w:sz w:val="20"/>
        </w:rPr>
        <w:t>Under the Severance Plan, upon a participant’s qualifying termination within three months prior to or one year following a change in control, then such participant will be entitled to the following severance payments and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cash payment equal to 200% (100%, in the case of Ms. Watson) of the executive’s then-current base salary and annual target bonus for the year in which such qualifying termination occurred, payable over the 24-month period (12-month period, in the case of Ms. Watson) following such qualifying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lump sum cash payment equal to the executive’s target bonus for the year of termination, prorated based on the number of days during the applicable performance year that the executive was employed through his or her qualifying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 to 18 months (12 months, in the case of Ms. Watson) of payment or reimbursement of COBRA premiums for healthcare coverage at levels the same or similar to the coverage provided prior to the executive’s termination of employment;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Full vesting acceleration of all outstanding Company equity awards held by such participant as of the date of his or her termination.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above severance benefits are contingent on the executive’s execution and non-revocation of a release of claims in favor of the Company and compliance with any restrictive covenants to which the executive is subject. In the event that any payment or benefit constitutes a parachute payment within the meaning of Section 280G of the Code, the Severance Plan provides a “best pay cap” approach whereby any severance payments and benefits the executive receives are reduced to the extent necessary so that no portion thereof is subject to the excise tax imposed under Section 4999 of the Code, but only if (a) the net amount of such payments, as so reduced, is greater than or equal to (b) the net amount of such severance payments without such reduction.</w:t>
      </w:r>
    </w:p>
    <w:p>
      <w:pPr>
        <w:pStyle w:val="TextBody"/>
        <w:bidi w:val="0"/>
        <w:spacing w:before="0" w:after="60"/>
        <w:jc w:val="both"/>
        <w:rPr>
          <w:rFonts w:ascii="Times New Roman" w:hAnsi="Times New Roman"/>
          <w:b/>
          <w:i/>
          <w:color w:val="000000"/>
          <w:sz w:val="20"/>
        </w:rPr>
      </w:pPr>
      <w:r>
        <w:rPr>
          <w:rFonts w:ascii="Times New Roman" w:hAnsi="Times New Roman"/>
          <w:b/>
          <w:i/>
          <w:color w:val="000000"/>
          <w:sz w:val="20"/>
        </w:rPr>
        <w:t>Equity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stock options granted under the 2014 Plan in August 2019 to Mr. Margolin and Mr. Reilly and in August 2020 to Mr. Margolin originally provided for 25% of the option to vest and become exercisable upon the executive’s termination without cause, or if the Company completed a deemed liquidation event or an initial public offering of its common stock. These options also originally provided that they would vest and become exercisable in full upon the executive’s termination without cause within 12 months following (i) a deemed liquidation event or (ii) an initial public offering of the Company’s common stock. In connection with the Business Combination, the Company entered into a waiver agreement with each of the named executive officers under which each named executive officer waived his right to the 25% accelerated vesting upon a deemed liquidation event. Under the 2021 Plan, in the event of a change in control where any outstanding awards under the 2021 Plan are not substituted or assumed, such awards will become fully vested, exercisable, and/or payable in connection with the change in control.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award agreements applicable to RSUs and stock options under the 2021 Plan generally provide that in the event of any termination of employment, all RSUs and stock options that are unvested would be forfeited; provided, that, in the event of death or disability that occurs on or after the first anniversary of the participant’s employment start date, all RSUs and stock options that are unvested would accelerate vesting. Pursuant to the terms of Dr. Cohen’s offer letter, in the event he experiences a qualifying termination under the Severance Plan following the first anniversary of his start date, he will vest in a number of RSUs and stock options underlying the initial grant he received in December of 2022 that he would have otherwise vested in had he remained employed by the Company for the 12-month period immediately following his termination date, subject to his compliance with all other terms and conditions of the Severance Plan and his offer letter.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60"/>
        <w:jc w:val="both"/>
        <w:rPr>
          <w:rFonts w:ascii="Times New Roman" w:hAnsi="Times New Roman"/>
          <w:b/>
          <w:i/>
          <w:color w:val="000000"/>
          <w:sz w:val="20"/>
        </w:rPr>
      </w:pPr>
      <w:r>
        <w:rPr>
          <w:rFonts w:ascii="Times New Roman" w:hAnsi="Times New Roman"/>
          <w:b/>
          <w:i/>
          <w:color w:val="000000"/>
          <w:sz w:val="20"/>
        </w:rPr>
        <w:t>Estimated Potential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payments that would be made to our NEOs upon the occurrence of certain qualifying terminations of employment or a change in control, in any case, occurring on December 31, 2025. Amounts shown do not include (i) accrued but unpaid base salary through the date of termination or (ii) other benefits earned or accrued by the NEO during his or her employment that are available to all salaried employees, such as accrued vacation and the annual incentive bonus earned in respect of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
        <w:gridCol w:w="1259"/>
        <w:gridCol w:w="465"/>
        <w:gridCol w:w="2215"/>
        <w:gridCol w:w="146"/>
        <w:gridCol w:w="498"/>
        <w:gridCol w:w="1182"/>
        <w:gridCol w:w="146"/>
        <w:gridCol w:w="471"/>
        <w:gridCol w:w="2666"/>
        <w:gridCol w:w="194"/>
      </w:tblGrid>
      <w:tr>
        <w:trPr/>
        <w:tc>
          <w:tcPr>
            <w:tcW w:w="96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Benefit</w:t>
            </w:r>
          </w:p>
        </w:tc>
        <w:tc>
          <w:tcPr>
            <w:tcW w:w="2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Termination Without Cause or for Good Reason / Cause (no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Change in Control (no Termination) ($)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Termination Without Cause or for Good Reason / Cause in Connection with a Change in Control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Jon Cohen </w:t>
            </w:r>
            <w:r>
              <w:rPr>
                <w:rFonts w:ascii="Times New Roman" w:hAnsi="Times New Roman"/>
                <w:color w:val="000000"/>
                <w:sz w:val="12"/>
              </w:rPr>
              <w:t>(4)</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Acceleration </w:t>
            </w:r>
            <w:r>
              <w:rPr>
                <w:rFonts w:ascii="Times New Roman" w:hAnsi="Times New Roman"/>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6,084,215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Continued Healthcare</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w:t>
            </w:r>
            <w:r>
              <w:rPr>
                <w:rFonts w:ascii="Times New Roman" w:hAnsi="Times New Roman"/>
                <w:b/>
                <w:color w:val="000000"/>
                <w:sz w:val="12"/>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8,554,718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Ian Harris</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Acceleration </w:t>
            </w:r>
            <w:r>
              <w:rPr>
                <w:rFonts w:ascii="Times New Roman" w:hAnsi="Times New Roman"/>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1,410,696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Continued Healthcare</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w:t>
            </w:r>
            <w:r>
              <w:rPr>
                <w:rFonts w:ascii="Times New Roman" w:hAnsi="Times New Roman"/>
                <w:b/>
                <w:color w:val="000000"/>
                <w:sz w:val="12"/>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3,081,199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Gil Margolin</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Acceleration </w:t>
            </w:r>
            <w:r>
              <w:rPr>
                <w:rFonts w:ascii="Times New Roman" w:hAnsi="Times New Roman"/>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627,579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Continued Healthcare</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w:t>
            </w:r>
            <w:r>
              <w:rPr>
                <w:rFonts w:ascii="Times New Roman" w:hAnsi="Times New Roman"/>
                <w:b/>
                <w:color w:val="000000"/>
                <w:sz w:val="12"/>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2,298,082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Reilly</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Acceleration </w:t>
            </w:r>
            <w:r>
              <w:rPr>
                <w:rFonts w:ascii="Times New Roman" w:hAnsi="Times New Roman"/>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1,022,885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Continued Healthcare</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w:t>
            </w:r>
            <w:r>
              <w:rPr>
                <w:rFonts w:ascii="Times New Roman" w:hAnsi="Times New Roman"/>
                <w:b/>
                <w:color w:val="000000"/>
                <w:sz w:val="12"/>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2,083,388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Katelyn Watson</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Acceleration </w:t>
            </w:r>
            <w:r>
              <w:rPr>
                <w:rFonts w:ascii="Times New Roman" w:hAnsi="Times New Roman"/>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823,291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Continued Healthcare</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w:t>
            </w:r>
            <w:r>
              <w:rPr>
                <w:rFonts w:ascii="Times New Roman" w:hAnsi="Times New Roman"/>
                <w:b/>
                <w:color w:val="000000"/>
                <w:sz w:val="12"/>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1,410,293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0" w:after="0"/>
        <w:jc w:val="both"/>
        <w:rPr>
          <w:rFonts w:ascii="Times New Roman" w:hAnsi="Times New Roman"/>
          <w:color w:val="000000"/>
          <w:sz w:val="17"/>
        </w:rPr>
      </w:pPr>
      <w:r>
        <w:rPr>
          <w:rFonts w:ascii="Times New Roman" w:hAnsi="Times New Roman"/>
          <w:color w:val="000000"/>
          <w:sz w:val="17"/>
        </w:rPr>
        <w:t>(1)</w:t>
      </w:r>
    </w:p>
    <w:p>
      <w:pPr>
        <w:pStyle w:val="TextBody"/>
        <w:bidi w:val="0"/>
        <w:spacing w:before="0" w:after="0"/>
        <w:jc w:val="both"/>
        <w:rPr>
          <w:rFonts w:ascii="Times New Roman" w:hAnsi="Times New Roman"/>
          <w:color w:val="000000"/>
          <w:sz w:val="17"/>
        </w:rPr>
      </w:pPr>
      <w:r>
        <w:rPr>
          <w:rFonts w:ascii="Times New Roman" w:hAnsi="Times New Roman"/>
          <w:color w:val="000000"/>
          <w:sz w:val="17"/>
        </w:rPr>
        <w:t>Pursuant to the 2021 Plan and the applicable award agreements, in the event of a change in control where an acquiror assumes, replaces or substitutes outstanding equity awards, awards under the 2021 Plan would not accelerate vesting. For purposes of the table above, we have assumed that awards are assumed, replaced or substituted in connection with the change in control.</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Assumes full acceleration of all unvested equity awards outstanding as of December 31, 2025. With respect to options, the value of equity acceleration was calculated by (i) multiplying the number of accelerated shares of common stock underlying the options by $3.63, the closing trading price of our common stock on December 31, 2025 and (ii) subtracting the exercise price for the options. No value is shown in respect of accelerated option shares with an exercise price that exceeds $3.63. With respect to RSUs, the value of equity acceleration was calculated by multiplying the number of accelerated RSUs by $3.63, the closing trading price of our common stock on December 31, 2025.</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(3)</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Amounts shown are the maximum potential payment the NEO would have received as of December 31, 2025. The amounts of any reduction pursuant to the 280G best pay provision, if any, would be calculated upon actual termination of employment.</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(4)</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Pursuant to the terms of Dr. Cohen’s offer letter, in the event he experiences a qualifying termination under the Severance Plan following the first anniversary of his start date, he will vest in a number of RSUs and stock options underlying the initial grant he received in December of 2022 that he would have otherwise vested in had he remained employed by the Company for the 12-month period immediately following his termination date, subject to his compliance with all other terms and conditions of the Severance Plan and his offer letter.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CEO PAY RATIO</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year ended December 31,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median of the annual total compensation of all employees of our company (other than our Chief Executive Officer) was $88,200; and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annual total compensation of our Chief Executive Officer was $2,931,733.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this information, for 2025, the ratio of the annual total compensation of our Chief Executive Officer to the median of the annual total compensation of all other employees was 33 to 1.</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Chief Executive Officer total compensation reflects Mr. Cohen’s 2025 total compensation as shown in the Summary Compensation Table on page 12.</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permitted by SEC rules, to identify our median employee for 2025, we selected total direct compensation as our consistently applied compensation measure, which we calculated as actual salary paid to our employees for 2025 (including overtime for hourly employees), actual bonus or sales commission earned by our employees in 2025, and the value of equity awards granted to our employees in 2025. Further, we used December 31, 2025 to determine our employee population and used the consistently applied compensation measure as described above to determine our median employee. In determining this population, we included all full-time and part-time employees other than our Chief Executive Officer. We did not include any contractors or workers employed through a third-party provider in our employee population. For employees paid in other than U.S. dollars, we converted their compensation to U.S. dollars using the exchange rates used by us for various purposes in effect on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this approach, we selected the individual who represented the median employee for 2025. We then calculated the annual total compensation for this individual using the same methodology we used for our named executive officers in our 2025 Summary Compensation Table.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PAY VS. PERFORMANCE</w:t>
      </w:r>
    </w:p>
    <w:tbl>
      <w:tblPr>
        <w:tblW w:w="12631" w:type="dxa"/>
        <w:jc w:val="left"/>
        <w:tblInd w:w="0" w:type="dxa"/>
        <w:tblLayout w:type="fixed"/>
        <w:tblCellMar>
          <w:top w:w="28" w:type="dxa"/>
          <w:left w:w="28" w:type="dxa"/>
          <w:bottom w:w="28" w:type="dxa"/>
          <w:right w:w="28" w:type="dxa"/>
        </w:tblCellMar>
      </w:tblPr>
      <w:tblGrid>
        <w:gridCol w:w="481"/>
        <w:gridCol w:w="146"/>
        <w:gridCol w:w="916"/>
        <w:gridCol w:w="146"/>
        <w:gridCol w:w="146"/>
        <w:gridCol w:w="826"/>
        <w:gridCol w:w="146"/>
        <w:gridCol w:w="146"/>
        <w:gridCol w:w="886"/>
        <w:gridCol w:w="166"/>
        <w:gridCol w:w="146"/>
        <w:gridCol w:w="826"/>
        <w:gridCol w:w="146"/>
        <w:gridCol w:w="171"/>
        <w:gridCol w:w="970"/>
        <w:gridCol w:w="146"/>
        <w:gridCol w:w="161"/>
        <w:gridCol w:w="980"/>
        <w:gridCol w:w="166"/>
        <w:gridCol w:w="334"/>
        <w:gridCol w:w="657"/>
        <w:gridCol w:w="146"/>
        <w:gridCol w:w="277"/>
        <w:gridCol w:w="714"/>
        <w:gridCol w:w="146"/>
        <w:gridCol w:w="146"/>
        <w:gridCol w:w="661"/>
        <w:gridCol w:w="166"/>
        <w:gridCol w:w="263"/>
        <w:gridCol w:w="1193"/>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1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Summary Compensation Table Total for PEO ($)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Compensation Actually paid to PEO ($)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Summary Compensation Table Total for Non-PEO Named Executive Officers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Compensation Actually Paid to Non-PEO Named Executive Officers ($)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of Initial Fixed $100 investment based on Total Shareholder Return ($) </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 Peer Group Total Shareholder Return ($)</w:t>
            </w:r>
            <w:r>
              <w:rPr>
                <w:rFonts w:ascii="Times New Roman" w:hAnsi="Times New Roman"/>
                <w:color w:val="000000"/>
                <w:sz w:val="16"/>
              </w:rPr>
              <w:t> </w:t>
            </w:r>
            <w:r>
              <w:rPr>
                <w:rFonts w:ascii="Times New Roman" w:hAnsi="Times New Roman"/>
                <w:b/>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Net Income (Loss) ($ thousands) </w:t>
            </w:r>
            <w:r>
              <w:rPr>
                <w:rFonts w:ascii="Times New Roman" w:hAnsi="Times New Roman"/>
                <w:b/>
                <w:color w:val="000000"/>
                <w:sz w:val="11"/>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Company-Selected Measure: Adjusted EBITDA ($ thousands)</w:t>
            </w:r>
            <w:r>
              <w:rPr>
                <w:rFonts w:ascii="Times New Roman" w:hAnsi="Times New Roman"/>
                <w:color w:val="000000"/>
                <w:sz w:val="16"/>
              </w:rPr>
              <w:t> </w:t>
            </w:r>
            <w:r>
              <w:rPr>
                <w:rFonts w:ascii="Times New Roman" w:hAnsi="Times New Roman"/>
                <w:b/>
                <w:color w:val="000000"/>
                <w:sz w:val="11"/>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3,128,158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7,339,634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12,208,580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(1) The dollar amounts reported in column (b) are the amounts of Total compensation reported for Mr. Cohen for 2025, 2024, 2023 and 2022 in the Summary Compensation Table. Mr. Cohen was appointed as Chief Executive Officer on November 9, 2022.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dollar amounts reported in column (c) for 2022 and 2021 are the amounts of Total compensation reported for Mr. Braunstein for 2022 and 2021 in the Summary Compensation Table. Mr. Braunstein served as Interim Chief Executive Officer from November 15, 2021 until November 8, 2022.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2021, the dollar amounts reported in column (b) are the amounts of Total compensation reported for Mr. Oren Frank (our former Chief Executive Officer) for 2021 in the Summary Compensation Table. Mr. Oren Frank stepped down as Chief Executive Officer effective November 15, 2021.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(2) The dollar amounts reported in columns (c) for 2025, 2024, 2023 and 2022 represent the amount of ‘‘compensation actually paid’’ to Mr. Cohen, as computed in accordance with Item 402(v) of Regulation S-K for such year. The dollar amounts reported in column (c) for 2022 and 2021 represent the amount of “compensation actually paid” to Mr. Braunstein as computed in accordance with Item 402(v) of Regulation S-K for such year. The dollar amounts reported in columns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2021 represent the amount of “compensation actually paid” to Mr. Oren Frank as computed in accordance with Item 402(v) of Regulation S-K for such year. The dollar amounts do not reflect the actual amount of compensation earned by or paid to these executives during the applicable year.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accordance with the requirements of Item 402(v) of Regulation S-K, the following adjustments were made to total compensation to determine the compensation actually paid to each PEO for each year:</w:t>
      </w:r>
    </w:p>
    <w:tbl>
      <w:tblPr>
        <w:tblW w:w="10205" w:type="dxa"/>
        <w:jc w:val="left"/>
        <w:tblInd w:w="0" w:type="dxa"/>
        <w:tblLayout w:type="fixed"/>
        <w:tblCellMar>
          <w:top w:w="28" w:type="dxa"/>
          <w:left w:w="28" w:type="dxa"/>
          <w:bottom w:w="28" w:type="dxa"/>
          <w:right w:w="28" w:type="dxa"/>
        </w:tblCellMar>
      </w:tblPr>
      <w:tblGrid>
        <w:gridCol w:w="5458"/>
        <w:gridCol w:w="196"/>
        <w:gridCol w:w="886"/>
        <w:gridCol w:w="166"/>
        <w:gridCol w:w="146"/>
        <w:gridCol w:w="826"/>
        <w:gridCol w:w="166"/>
        <w:gridCol w:w="146"/>
        <w:gridCol w:w="826"/>
        <w:gridCol w:w="146"/>
        <w:gridCol w:w="146"/>
        <w:gridCol w:w="886"/>
        <w:gridCol w:w="211"/>
      </w:tblGrid>
      <w:tr>
        <w:trPr/>
        <w:tc>
          <w:tcPr>
            <w:tcW w:w="5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Mr. Cohen</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Reported Summary Compensation Table Total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2,747,622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Deduct Reported Grant Date Fair Value of Equity Awards Granted in the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Year End Fair Value of Equity Awards Outstanding and Unvested Granted in the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1,806,810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Year over Year Change in Fair Value of Outstanding and Unvested Equity Awards Granted in Prior Years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as of Vesting Date of Equity Awards Granted and Vested in the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as of Vesting Date of Equity Awards Granted in Prior Years that Vested in the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at the End of the Prior Year of Equity Awards that Failed to Meet Vesting Conditions in the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Value of Dividends or other Earnings Paid on Stock or Option Awards not Otherwise Reflected in Fair Value or Total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Actually Paid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4,005,821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7,339,634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79"/>
        <w:gridCol w:w="211"/>
        <w:gridCol w:w="991"/>
        <w:gridCol w:w="166"/>
        <w:gridCol w:w="211"/>
        <w:gridCol w:w="1036"/>
        <w:gridCol w:w="211"/>
      </w:tblGrid>
      <w:tr>
        <w:trPr/>
        <w:tc>
          <w:tcPr>
            <w:tcW w:w="7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Mr. Braunstein</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Summary Compensation Table Total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398,628.00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Reported Grant Date Fair Value of Equity Awards Granted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 Fair Value of Equity Awards Outstanding and Unvested Granted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Change in Fair Value of Outstanding and Unvested Equity Awards Granted in Prior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Vesting Date of Equity Awards Granted and Vested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as of Vesting Date of Equity Awards Granted in Prior Years that Vested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End of the Prior Year of Equity Awards that Failed to Meet Vesting Conditions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Dividends or other Earnings Paid on Stock or Option Awards not Otherwise Reflected in Fair Value or Total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2"/>
        <w:gridCol w:w="211"/>
        <w:gridCol w:w="1291"/>
        <w:gridCol w:w="211"/>
      </w:tblGrid>
      <w:tr>
        <w:trPr/>
        <w:tc>
          <w:tcPr>
            <w:tcW w:w="8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Mr. Frank</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Summary Compensation Table Total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12,208,580.00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Reported Grant Date Fair Value of Equity Awards Granted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(10,371,282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 Fair Value of Equity Awards Outstanding and Unvested Granted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Change in Fair Value of Outstanding and Unvested Equity Awards Granted in Prior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Vesting Date of Equity Awards Granted and Vested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as of Vesting Date of Equity Awards Granted in Prior Years that Vested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End of the Prior Year of Equity Awards that Failed to Meet Vesting Conditions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Dividends or other Earnings Paid on Stock or Option Awards not Otherwise Reflected in Fair Value or Total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(3) The dollar amounts reported in column (d) represent the average of the amounts reported for the Company’s non-PEO named executive officers (NEOs) as a group in the ‘‘Total’’ column of the Summary Compensation Table in each applicable year. The names of each of the non-PEO NEOs included for purposes of calculating the average amounts in each applicable year are as follows: (i) for 2025, Messrs. Ian Harris, Gil Margolin and John Reilly, and Ms. Katelyn Watson; (ii) for 2024, Messrs. Ian Harris and Gil Margolin, and Ms. Jennifer Fulk, and (iii) for 2023, Ms. Jennifer Fulk and Mr. Gil Margolin; (iv) for 2022, Ms. Jennifer Fulk and Messrs. Gil Margolin and John Reilly;, and (v) for 2021, Ms. Jennifer Fulk, Ms. Samara Braunstein, Ms. Roni Frank, and Messrs. Mark Hirschhorn, Gil Margolin, and John Reilly.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(4) 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these NEOs as a group during the applicable year. In accordance with the requirements of Item 402(v) of Regulation S-K, the following adjustments were made to average total compensation for the non-PEO NEOs as a group for each year to determine the compensation actually paid, using the same methodology described above in Note 2:</w:t>
      </w:r>
    </w:p>
    <w:tbl>
      <w:tblPr>
        <w:tblW w:w="10205" w:type="dxa"/>
        <w:jc w:val="left"/>
        <w:tblInd w:w="0" w:type="dxa"/>
        <w:tblLayout w:type="fixed"/>
        <w:tblCellMar>
          <w:top w:w="28" w:type="dxa"/>
          <w:left w:w="28" w:type="dxa"/>
          <w:bottom w:w="28" w:type="dxa"/>
          <w:right w:w="28" w:type="dxa"/>
        </w:tblCellMar>
      </w:tblPr>
      <w:tblGrid>
        <w:gridCol w:w="3820"/>
        <w:gridCol w:w="211"/>
        <w:gridCol w:w="931"/>
        <w:gridCol w:w="166"/>
        <w:gridCol w:w="146"/>
        <w:gridCol w:w="931"/>
        <w:gridCol w:w="166"/>
        <w:gridCol w:w="146"/>
        <w:gridCol w:w="931"/>
        <w:gridCol w:w="166"/>
        <w:gridCol w:w="146"/>
        <w:gridCol w:w="931"/>
        <w:gridCol w:w="166"/>
        <w:gridCol w:w="146"/>
        <w:gridCol w:w="991"/>
        <w:gridCol w:w="211"/>
      </w:tblGrid>
      <w:tr>
        <w:trPr/>
        <w:tc>
          <w:tcPr>
            <w:tcW w:w="3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Summary Compensation Table Total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4,735,830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Reported Grant Date Fair Value of Equity Awards Granted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(4,025,296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 Fair Value of Equity Awards Outstanding and Unvested Granted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over Year Change in Fair Value of Outstanding and Unvested Equity Awards Granted in Prior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Vesting Date of Equity Awards Granted and Vested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as of Vesting Date of Equity Awards Granted in Prior Years that Vested in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End of the Prior Year of Equity Awards that Failed to Meet Vesting Conditions in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Dividends or other Earnings Paid on Stock or Option Awards not Otherwise Reflected in Fair Value or Total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(2,619,519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(5)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(6) The peer group used for calculating Peer Group Total Shareholder Return is the S&amp;P 500 Health Care Index.</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(7) The dollar amounts reported represent the amount of net income (loss) reflected in the Company’s audited financial statements for the applicable year.</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(8) We have determined that Adjusted EBITDA is the financial performance measure that, in our assessment, represents the most important performance measure (that is not otherwise required to be disclosed in the table) used to link compensation actually paid to our named executive officers, for the most recently completed fiscal year, to company performance. We calculate adjusted EBITDA as net income (loss) adjusted to exclude (i) depreciation and amortization, (ii) stock-based compensation expense, (iii) financial income, net, (iv) income tax expense, and (v) certain non-recurring expenses, where applicable. For a reconciliation of adjusted EBITDA from the most comparable GAAP measure, net income, refer to our consolidated financial statements included in the Annual Report on Form 10-K for the year ended December 31, 2025, 2024, 2023, 2022 and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60"/>
        <w:jc w:val="both"/>
        <w:rPr>
          <w:rFonts w:ascii="Times New Roman" w:hAnsi="Times New Roman"/>
          <w:b/>
          <w:color w:val="000000"/>
          <w:sz w:val="20"/>
        </w:rPr>
      </w:pPr>
      <w:r>
        <w:rPr>
          <w:rFonts w:ascii="Times New Roman" w:hAnsi="Times New Roman"/>
          <w:b/>
          <w:color w:val="000000"/>
          <w:sz w:val="20"/>
        </w:rPr>
        <w:t>Narrative Description of Relationships Between CAP, TSR, Net Income and Adjusted EBITDA</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In accordance with Item 402(v) of Regulation S-K, the Company is providing the following descriptions of the relationships between information presented in the Pay Versus Performance table. </w:t>
      </w:r>
    </w:p>
    <w:p>
      <w:pPr>
        <w:pStyle w:val="TextBody"/>
        <w:bidi w:val="0"/>
        <w:spacing w:before="0" w:after="60"/>
        <w:jc w:val="both"/>
        <w:rPr>
          <w:rFonts w:ascii="Times New Roman" w:hAnsi="Times New Roman"/>
          <w:b/>
          <w:i/>
          <w:color w:val="000000"/>
          <w:sz w:val="20"/>
        </w:rPr>
      </w:pPr>
      <w:r>
        <w:rPr>
          <w:rFonts w:ascii="Times New Roman" w:hAnsi="Times New Roman"/>
          <w:b/>
          <w:i/>
          <w:color w:val="000000"/>
          <w:sz w:val="20"/>
        </w:rPr>
        <w:t>PEO and average non-PEO NEO CAP compared to Company TSR and Peer TSR</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fiscal year 2025, the Company’s TSR increased 16% compared to the prior year period, while the TSR of the Company’s peer group increased 15% compared to the prior year period. The PEO CAP increased 28% compared to the prior year period, and the non-PEO NEO CAP increased 30% compared to the prior period. In fiscal year 2024, the Company’s TSR increased 23% compared to the prior year period, while the TSR of the Company’s peer group increased 2% compared to the prior year period, while the PEO CAP decreased 57% compared to the prior year period, and the non-PEO NEO CAP decreased 67% compared to the prior period. In fiscal year 2023, the Company’s TSR increased 343% compared to the prior year period, while the TSR of the Company’s peer group increased 2% compared to the prior year period. Similarly, the PEO CAP increased 286% compared to the prior year period, and the non-PEO NEO CAP increased 239% compared to the prior period. In fiscal year 2022, the Company’s TSR decreased 71% compared to the prior year period, while the TSR of the Company’s peer group decreased 2% compared to the prior year period. The PEO CAP increased 188% compared to the prior year period, and the non-PEO NEO CAP increased 129% compared to the prior period.</w:t>
      </w:r>
    </w:p>
    <w:p>
      <w:pPr>
        <w:pStyle w:val="TextBody"/>
        <w:bidi w:val="0"/>
        <w:spacing w:before="0" w:after="60"/>
        <w:jc w:val="both"/>
        <w:rPr>
          <w:rFonts w:ascii="Times New Roman" w:hAnsi="Times New Roman"/>
          <w:b/>
          <w:i/>
          <w:color w:val="000000"/>
          <w:sz w:val="20"/>
        </w:rPr>
      </w:pPr>
      <w:r>
        <w:rPr>
          <w:rFonts w:ascii="Times New Roman" w:hAnsi="Times New Roman"/>
          <w:b/>
          <w:i/>
          <w:color w:val="000000"/>
          <w:sz w:val="20"/>
        </w:rPr>
        <w:t>PEO and average non-PEO NEO CAP compared to Company Net Income (Loss)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fiscal year 2025, the Company’s net income increased 579% compared to the prior year period. The PEO CAP increased 28% compared to the prior year period, and the non-PEO NEO CAP increased 30% compared to the prior period. In fiscal year 2024, the Company’s net income increased 106% compared to the prior year period. The PEO CAP decreased 57% compared to the prior year period, and the non-PEO NEO CAP decreased 67% compared to the prior period. In fiscal year 2023, the Company’s net income increased 76% compared to the prior year period. The PEO CAP increased 286% compared to the prior year period, and the non-PEO NEO CAP increased 239% compared to the prior period. In fiscal year 2022, the Company’s net income decreased 27% compared to the prior year period. The PEO CAP increased 188% compared to the prior year period, and the non-PEO NEO CAP increased 129% compared to the prior period.</w:t>
      </w:r>
    </w:p>
    <w:p>
      <w:pPr>
        <w:pStyle w:val="TextBody"/>
        <w:bidi w:val="0"/>
        <w:spacing w:before="0" w:after="60"/>
        <w:jc w:val="both"/>
        <w:rPr>
          <w:rFonts w:ascii="Times New Roman" w:hAnsi="Times New Roman"/>
          <w:b/>
          <w:i/>
          <w:color w:val="000000"/>
          <w:sz w:val="20"/>
        </w:rPr>
      </w:pPr>
      <w:r>
        <w:rPr>
          <w:rFonts w:ascii="Times New Roman" w:hAnsi="Times New Roman"/>
          <w:b/>
          <w:i/>
          <w:color w:val="000000"/>
          <w:sz w:val="20"/>
        </w:rPr>
        <w:t>PEO and average non-PEO NEO CAP compared to Company Adjusted EBITDA</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fiscal year 2025, the Company’s Adjusted EBITDA increased 127% compared to the prior year period. The PEO CAP increased 28% compared to the prior year period, and the non-PEO NEO CAP increased 30% compared to the prior period. In fiscal year 2024, the Company’s Adjusted EBITDA increased 151% compared to the prior year period. The PEO CAP decreased 57% compared to the prior year period, and the non-PEO NEO CAP decreased 67% compared to the prior period. In fiscal year 2023, the Company’s Adjusted EBITDA increased 77% compared to the prior year period. The PEO CAP increased 286% compared to the prior year period, and the non-PEO NEO CAP increased 239% compared to the prior period. In fiscal year 2022, the Company’s Adjusted EBITDA increased 4% compared to the prior year period. The PEO CAP increased 188% compared to the prior year period, and the non-PEO NEO CAP increased 129% compared to the prior period.</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Financial Measures</w:t>
      </w:r>
    </w:p>
    <w:tbl>
      <w:tblPr>
        <w:tblW w:w="10205" w:type="dxa"/>
        <w:jc w:val="left"/>
        <w:tblInd w:w="0" w:type="dxa"/>
        <w:tblLayout w:type="fixed"/>
        <w:tblCellMar>
          <w:top w:w="28" w:type="dxa"/>
          <w:left w:w="28" w:type="dxa"/>
          <w:bottom w:w="28" w:type="dxa"/>
          <w:right w:w="28" w:type="dxa"/>
        </w:tblCellMar>
      </w:tblPr>
      <w:tblGrid>
        <w:gridCol w:w="1148"/>
        <w:gridCol w:w="146"/>
        <w:gridCol w:w="8911"/>
      </w:tblGrid>
      <w:tr>
        <w:trPr/>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Explanation</w:t>
            </w:r>
          </w:p>
        </w:tc>
      </w:tr>
      <w:tr>
        <w:trPr/>
        <w:tc>
          <w:tcPr>
            <w:tcW w:w="1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Measures our top-line growth</w:t>
            </w:r>
          </w:p>
        </w:tc>
      </w:tr>
      <w:tr>
        <w:trPr/>
        <w:tc>
          <w:tcPr>
            <w:tcW w:w="1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Measures our bottom-line growth</w:t>
            </w:r>
          </w:p>
        </w:tc>
      </w:tr>
      <w:tr>
        <w:trPr/>
        <w:tc>
          <w:tcPr>
            <w:tcW w:w="1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non-GAAP measure that consists net income (loss) adjusted to exclude (i) depreciation and amortization, (ii) stock-based compensation expense, (iii) financial income, net, (iv) income tax expense, and (v) certain non-recurring expenses, where applicable.</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center"/>
        <w:rPr>
          <w:rFonts w:ascii="Times New Roman" w:hAnsi="Times New Roman"/>
          <w:b/>
          <w:caps/>
          <w:color w:val="000000"/>
          <w:sz w:val="20"/>
        </w:rPr>
      </w:pPr>
      <w:r>
        <w:rPr>
          <w:rFonts w:ascii="Times New Roman" w:hAnsi="Times New Roman"/>
          <w:b/>
          <w:caps/>
          <w:color w:val="000000"/>
          <w:sz w:val="20"/>
        </w:rPr>
        <w:t>2025 Director Compensation</w:t>
      </w:r>
    </w:p>
    <w:p>
      <w:pPr>
        <w:pStyle w:val="TextBody"/>
        <w:bidi w:val="0"/>
        <w:jc w:val="both"/>
        <w:rPr/>
      </w:pPr>
      <w:r>
        <w:rPr/>
        <w:t> </w:t>
      </w:r>
    </w:p>
    <w:tbl>
      <w:tblPr>
        <w:tblW w:w="9113" w:type="dxa"/>
        <w:jc w:val="left"/>
        <w:tblInd w:w="0" w:type="dxa"/>
        <w:tblLayout w:type="fixed"/>
        <w:tblCellMar>
          <w:top w:w="28" w:type="dxa"/>
          <w:left w:w="28" w:type="dxa"/>
          <w:bottom w:w="28" w:type="dxa"/>
          <w:right w:w="28" w:type="dxa"/>
        </w:tblCellMar>
      </w:tblPr>
      <w:tblGrid>
        <w:gridCol w:w="1921"/>
        <w:gridCol w:w="146"/>
        <w:gridCol w:w="472"/>
        <w:gridCol w:w="1943"/>
        <w:gridCol w:w="146"/>
        <w:gridCol w:w="485"/>
        <w:gridCol w:w="1150"/>
        <w:gridCol w:w="146"/>
        <w:gridCol w:w="267"/>
        <w:gridCol w:w="1263"/>
        <w:gridCol w:w="146"/>
        <w:gridCol w:w="146"/>
        <w:gridCol w:w="69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 ($)</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 ($)</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Douglas L. Braunstein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Erez Shachar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Curtis Warfield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Jacqueline Yeaney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Madhu Pawar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Michael Hansen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Liat Ben-Zur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Swati Abbott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7"/>
        </w:rPr>
      </w:pPr>
      <w:r>
        <w:rPr>
          <w:rFonts w:ascii="Times New Roman" w:hAnsi="Times New Roman"/>
          <w:color w:val="000000"/>
          <w:sz w:val="17"/>
        </w:rPr>
        <w:t>(1) Amounts reflect the full grant-date fair value of RSUs and stock options granted during 2025 computed in accordance with ASC Topic 718, rather than the amounts paid to or realized by the named individual. We provide information regarding the assumptions used to calculate the value of all RSUs and option awards made to our directors in Note 2 and Note 10 to the consolidated financial statements included in the Annual Report on Form 10-K for the year ended December 31, 2025.</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(2) These non-employee directors have elected to have their annual retainer fees to be paid in 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shows the aggregate numbers of option awards (exercisable and unexercisable) and unvested stock awards held as of December 31, 2025 by each non-employee director.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49"/>
        <w:gridCol w:w="146"/>
        <w:gridCol w:w="553"/>
        <w:gridCol w:w="3137"/>
        <w:gridCol w:w="146"/>
        <w:gridCol w:w="146"/>
        <w:gridCol w:w="635"/>
        <w:gridCol w:w="3600"/>
        <w:gridCol w:w="193"/>
      </w:tblGrid>
      <w:tr>
        <w:trPr/>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Outstanding at 2025 Fiscal Year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Stock Awards Outstanding at 2025 Fiscal Year End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Jon Cohen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1,258,609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L. Braunstein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Erez Shachar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Curtis Warfield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Jacqueline Yeaney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Madhu Pawar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Michael Hansen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67,914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Liat Ben-Zur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Swati Abbott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78,830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7"/>
        </w:rPr>
      </w:pPr>
      <w:r>
        <w:rPr>
          <w:rFonts w:ascii="Times New Roman" w:hAnsi="Times New Roman"/>
          <w:color w:val="000000"/>
          <w:sz w:val="17"/>
        </w:rPr>
        <w:t>(1) Dr. Cohen serves as our Chief Executive Officer since November 2022; as such, his compensation earned as a director is disclosed in the Summary Compensation Table and his outstanding equity awards are disclosed in the Outstanding Equity Awards at Fiscal Year End 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Director Compensation Program provides for annual retainer fees and long-term equity awards for certain of our non-employee directors (each, an “Eligible Director”). The material terms of the Director Compensation Program are summarized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Retainer: $40,000</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Annual Committee Chair Retainer: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$20,000</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$10,000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Chairman Retainer: $30,000</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Annual cash retainers will be paid in quarterly installments in arrears and will be pro-rated for any partial calendar quarter of service. For the fiscal year ended December 31, 2025, Douglas Braunstein, Erez Shachar, Madhu Pawar and Swati Abbott each elected to receive the value of their cash compensation amount in the form of RSUs pursuant to an amendment to the Non-Employee Director Compensation Program approved by the Board in November 2023 allowing each non-employee director to elect to receive the value of each of their respective cash compensation amounts in the form of RSUs. </w:t>
      </w:r>
    </w:p>
    <w:p>
      <w:pPr>
        <w:pStyle w:val="TextBody"/>
        <w:bidi w:val="0"/>
        <w:jc w:val="left"/>
        <w:rPr>
          <w:rFonts w:ascii="Times New Roman" w:hAnsi="Times New Roman"/>
          <w:sz w:val="20"/>
        </w:rPr>
      </w:pPr>
      <w:r>
        <w:rPr>
          <w:rFonts w:ascii="Times New Roman" w:hAnsi="Times New Roman"/>
          <w:i/>
          <w:color w:val="000000"/>
          <w:sz w:val="20"/>
        </w:rPr>
        <w:t>Equity Compensation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Annual Grant: An Eligible Director who is serving on the Board as of the date of the annual meeting of the Company’s stockholders each calendar year beginning with calendar year 2022 are granted, on December 1st of such year, a RSU award with a value of approximately $160,000 (each, an “Annual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Each Annual Grant will vest in full on the first anniversary of the applicable grant date subject to such Eligible Director’s continued service through the applicable vesting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Initial Grant: Each Eligible Director who is initially elected or appointed to serve on our Board at any time after the closing of the Business Combination will automatically be granted on such election or appointment date (i) a stock option award with a value of up to $320,000 and (ii) a RSU award with a value of up to $80,000 (each, an “Initial Grant”). Each Initial Grant will vest as to 25% of the shares subject to the applicable award on each of the first four anniversaries of the grant date of the applicable award, subject to the Eligible Director’s continued service through the applicable vesting date.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each Existing Director Grant, Annual Grant and Initial Grant will vest in full upon a change in control of our company (as defined in the 2021 Plan) if the Eligible Director will not become, as of immediately following the change in control, a member of the Board of the surviving entity or the ultimate parent of the surviving entity.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Compensation under our Director Compensation Program will be subject to the annual limits on non-employee director compensation set forth in the 2021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5" w:name="item_12_security_ownership"/>
      <w:bookmarkEnd w:id="5"/>
      <w:r>
        <w:rPr>
          <w:rFonts w:ascii="Times New Roman" w:hAnsi="Times New Roman"/>
          <w:b/>
          <w:color w:val="000000"/>
          <w:sz w:val="20"/>
        </w:rPr>
        <w:t>Item 12. SECURITY OWNERSHIP OF CERTAIN BENEFICIAL OWNERS, MANAGEMENT AND DIRECTORS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certain information regarding the beneficial ownership of Company common stock as of April 13, 2026,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each director;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each current named executive officer;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all of our current executive officers and directors as a group;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all stockholders known to us to be beneficial owners of 5% or more of Company common stock (based on a review of filings made with the SEC on Schedules 13D, 13G and Form 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April 13, 2026, there were approximately 167,512,566 shares of Company common stock issued and outstanding. Except as otherwise set forth below, the address of each beneficial owner is: c/o Talkspace, Inc., 622 Third Avenue, New York, NY 10017.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Beneficial ownership is determined in accordance with SEC rules, and includes any shares as to which the stockholder has sole or shared voting power or investment power, and also any shares that the stockholder has the right to acquire within 60 days of April 13, 2026, whether through the vesting of Company RSUs or the exercise or conversion of any Company option, Company warrant, convertible security or other right. The indication herein that shares are beneficially owned is not an admission on the part of the stockholder that he, she or it is a direct or indirect beneficial owner of those shares.</w:t>
      </w:r>
    </w:p>
    <w:p>
      <w:pPr>
        <w:pStyle w:val="TextBody"/>
        <w:bidi w:val="0"/>
        <w:jc w:val="both"/>
        <w:rPr/>
      </w:pPr>
      <w:r>
        <w:rPr/>
        <w:t> </w:t>
      </w:r>
    </w:p>
    <w:tbl>
      <w:tblPr>
        <w:tblW w:w="9305" w:type="dxa"/>
        <w:jc w:val="left"/>
        <w:tblInd w:w="0" w:type="dxa"/>
        <w:tblLayout w:type="fixed"/>
        <w:tblCellMar>
          <w:top w:w="28" w:type="dxa"/>
          <w:left w:w="28" w:type="dxa"/>
          <w:bottom w:w="28" w:type="dxa"/>
          <w:right w:w="28" w:type="dxa"/>
        </w:tblCellMar>
      </w:tblPr>
      <w:tblGrid>
        <w:gridCol w:w="5101"/>
        <w:gridCol w:w="146"/>
        <w:gridCol w:w="226"/>
        <w:gridCol w:w="1604"/>
        <w:gridCol w:w="146"/>
        <w:gridCol w:w="146"/>
        <w:gridCol w:w="330"/>
        <w:gridCol w:w="1290"/>
        <w:gridCol w:w="316"/>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r>
            <w:r>
              <w:rPr>
                <w:rFonts w:ascii="Times New Roman" w:hAnsi="Times New Roman"/>
                <w:color w:val="000000"/>
                <w:sz w:val="16"/>
              </w:rPr>
              <w:t> </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5%+ Beneficial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HEC Master Fund LP</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Norwest Venture Partners XIII, LP</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BlackRock, Inc.</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Qumra Capital II, L.P.</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Jon Cohen</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Ian Harris</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Gil Margolin</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John Reilly</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Katelyn Watson</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Douglas L. Braunstein</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Erez Shachar</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Curtis Warfield</w:t>
            </w: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Jacqueline Yeaney(14)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Madhu Pawar(15)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Michael Hansen</w:t>
            </w:r>
            <w:r>
              <w:rPr>
                <w:rFonts w:ascii="Times New Roman" w:hAnsi="Times New Roman"/>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Swati Abbott</w:t>
            </w:r>
            <w:r>
              <w:rPr>
                <w:rFonts w:ascii="Times New Roman" w:hAnsi="Times New Roman"/>
                <w:color w:val="000000"/>
                <w:sz w:val="13"/>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Liat Ben-Zur</w:t>
            </w:r>
            <w:r>
              <w:rPr>
                <w:rFonts w:ascii="Times New Roman" w:hAnsi="Times New Roman"/>
                <w:color w:val="000000"/>
                <w:sz w:val="13"/>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directors and executive officers as a group (13 persons)</w:t>
            </w:r>
            <w:r>
              <w:rPr>
                <w:rFonts w:ascii="Times New Roman" w:hAnsi="Times New Roman"/>
                <w:color w:val="000000"/>
                <w:sz w:val="13"/>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42,265,090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17"/>
        </w:rPr>
      </w:pPr>
      <w:r>
        <w:rPr>
          <w:rFonts w:ascii="Times New Roman" w:hAnsi="Times New Roman"/>
          <w:color w:val="000000"/>
          <w:sz w:val="17"/>
        </w:rPr>
        <w:t>* Represents beneficial ownership of less than one percent of our outstanding Company common stock.</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 Shares of Company common stock beneficially owned for the directors and executive officers includes shares of Company common stock held as of the date of the table, stock options and warrants that are vested as of the date of the table, and stock options, warrants and RSUs that will vest within 60 days following the date of the table.</w:t>
      </w:r>
    </w:p>
    <w:p>
      <w:pPr>
        <w:pStyle w:val="TextBody"/>
        <w:bidi w:val="0"/>
        <w:spacing w:before="0" w:after="60"/>
        <w:jc w:val="both"/>
        <w:rPr>
          <w:rFonts w:ascii="Times New Roman" w:hAnsi="Times New Roman"/>
          <w:color w:val="000000"/>
          <w:sz w:val="17"/>
        </w:rPr>
      </w:pPr>
      <w:r>
        <w:rPr>
          <w:rFonts w:ascii="Times New Roman" w:hAnsi="Times New Roman"/>
          <w:color w:val="000000"/>
          <w:sz w:val="17"/>
        </w:rPr>
        <w:t>(2) Based on information reported on a Schedule 13D/A filed on March 10, 2026 and information known to the Company, inclusive of (i) 7,640,000 shares of Company common stock beneficially owned through the ownership of warrants exercisable within 60 days of the date of March 10, 2026 and (ii) 1,545,000 shares of Company common stock bearing a legend that such shares are subject to forfeiture pursuant to Section 1.9(c) of the sponsor support agreement. Douglas Braunstein is the Managing Member of HEC Management GP LLC (“MGT GP”). MGT GP is the Managing Member of HEC Performance GP LLC and the Managing Partner of Hudson Executive Capital LP, which is the Investment Manager of the HEC Master Fund LP. Hudson Executive Capital LP and Mr. Braunstein disclaims beneficial ownership of the securities owned by HEC Master Fund LP except to the extent of his pecuniary interest therein. The address of HEC Master Fund LP is c/o Walkers Corporate Limited, 190 Elgin Avenue, George Town, Grand Cayman KY1-9001.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17"/>
        </w:rPr>
      </w:pPr>
      <w:r>
        <w:rPr>
          <w:rFonts w:ascii="Times New Roman" w:hAnsi="Times New Roman"/>
          <w:color w:val="000000"/>
          <w:sz w:val="17"/>
        </w:rPr>
        <w:t>(3) Based on information reported on a Schedule 13G/A filed on May 15, 2025, consists of shares of Company common stock held by Norwest Venture Partners XIII, LP (“NVP XIII”). Genesis VC Partners XIII, LLC is the general partner of NVP XIII and may be deemed to have sole voting and dispositive power over the shares held by NVP XIII. NVP Associates, LLC, the managing member of Genesis VC Partners XIII, LLC and each of Promod Haque, Jeffrey Crowe and Jon Kossow, as Co-Chief Executive Officers of NVP Associates, LLC and members of the general partner, may be deemed to share voting and dispositive power over the shares held by NVP XIII. Such persons and entities disclaim beneficial ownership of the shares held by NVP XIII, except to the extent of any proportionate pecuniary interest therein.</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(4) Based on information reported on a Schedule 13G filed on October 17, 2025, consists of shares of Company common stock held by BlackRock, Inc. (“BlackRock”). The address of BlackRock is 50 Hudson Yards New York, NY 10001.</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(5) Based on information reported on a Schedule 13D filed on March 30, 2026, consists of shares of Company common stock held by Qumra Capital II, L.P. (“Qumra II”). Qumra Capital GP II, L.P. (“Qumra GP II”) is the general partner of Qumra II and Qumra Capital Israel I Ltd. (“Qumra Capital Ltd.”) is the general partner of Qumra GP II. Boaz Dinte and Erez Shachar serve as the managing partners of Qumra Capital Ltd. and share voting and dispositive power with respect to the shares held by Qumra II. The address for these entities is c/o Qumra Capital, HaNevi’im St 4, Tel Aviv-Yafo, Israel.</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(6) Consists of (i) 1,476,266 shares of Company common stock and (ii) 1,366,605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(7) Consists of (i) 269,373 shares of Company common stock, including 6,767 shares of Company common stock bearing a legend that such shares are subject to forfeiture pursuant to Section 1.9(c) of the sponsor support agreement, (ii) 113,266 shares of Company common stock issuable upon the exercise of options or vesting of restricted stock units, exercisable as of or within 60 days of April 13, 2026 and (iii) 22,500 shares of Company common stock beneficially owned through the ownership of warrants exercisable within 60 days of the date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(8) Consists of (i) 84,367 shares of Company common stock and (ii) 564,638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(9) Consists of (i) 809,477 shares of Company common stock and (ii) 423,591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(10) Consists of (i) 154,594 shares of Company common stock and (ii) 52,605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(11) Consists of (i) shares of Company common stock held by Hudson Executive Capital LP, (ii) 2,274,446 shares of Company common stock, including 682,334 shares of Company common stock bearing a legend that such shares are subject to forfeiture pursuant to Section 1.9(c) of the sponsor support agreement, owned jointly among Mr. Braunstein and his spouse, including through a trust, (iii) 2,270,000 shares beneficially owned through the ownership of warrants exercisable within 60 days of April 13, 2026 owned jointly among Mr. Braunstein and his spouse and (iv) 703,402 shares underlying certain options exercisable within 60 days of April 13, 2026. Mr. Braunstein disclaims beneficial ownership of the securities owned by HEC Master Fund LP except to the extent of his pecuniary interest therein. See footnote 2.</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(12) Consists of shares of (i) Company common stock held by Qumra II, (ii) 351,216 shares of Company common stock held by Mr. Shachar and (iii) 65,204 shares of Company common stock issuable upon the exercise of options or vesting of restricted stock units, exercisable as of or within 60 days of April 13, 2026. Mr. Shachar disclaims beneficial ownership of the shares held of record by Qumra II except to the extent of his pecuniary interest therein. See footnote 5.</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(13) Consists of (i) 203,160 shares of Company common stock and (ii) 63,402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(14) Consists of (i) 308,610 shares of Company common stock and (ii) 63,402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(15) Consists of (i) 339,812 shares of Company common stock and (ii) 63,402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(16) Consists of (i) 184,267 shares of Company common stock and (ii) 219,903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(17) Consists of (i) 92,866 shares of Company common stock and (ii) 28,992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(18) Consists of (i) 77,446 shares of Company common stock and (ii) 28,992 shares of Company common stock issuable upon the exercise of options or vesting of restricted stock units, exercisable as of or within 60 days of April 13, 2026.</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(19) Current directors and executive officers as a group includes the named executive officers and current directors listed in the table above.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our knowledge, except as noted above, no person or entity is the beneficial owner of 5% or more of the voting power of the Company common stock.</w:t>
      </w:r>
    </w:p>
    <w:p>
      <w:pPr>
        <w:pStyle w:val="TextBody"/>
        <w:bidi w:val="0"/>
        <w:spacing w:before="6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2025</w:t>
      </w:r>
    </w:p>
    <w:tbl>
      <w:tblPr>
        <w:tblW w:w="10205" w:type="dxa"/>
        <w:jc w:val="left"/>
        <w:tblInd w:w="0" w:type="dxa"/>
        <w:tblLayout w:type="fixed"/>
        <w:tblCellMar>
          <w:top w:w="28" w:type="dxa"/>
          <w:left w:w="28" w:type="dxa"/>
          <w:bottom w:w="28" w:type="dxa"/>
          <w:right w:w="28" w:type="dxa"/>
        </w:tblCellMar>
      </w:tblPr>
      <w:tblGrid>
        <w:gridCol w:w="3110"/>
        <w:gridCol w:w="146"/>
        <w:gridCol w:w="391"/>
        <w:gridCol w:w="2457"/>
        <w:gridCol w:w="146"/>
        <w:gridCol w:w="146"/>
        <w:gridCol w:w="507"/>
        <w:gridCol w:w="1091"/>
        <w:gridCol w:w="146"/>
        <w:gridCol w:w="146"/>
        <w:gridCol w:w="258"/>
        <w:gridCol w:w="1468"/>
        <w:gridCol w:w="193"/>
      </w:tblGrid>
      <w:tr>
        <w:trPr/>
        <w:tc>
          <w:tcPr>
            <w:tcW w:w="3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 to</w:t>
              <w:br/>
              <w:t>be Issued Upon Exercise</w:t>
              <w:br/>
              <w:t>of Outstanding Options,</w:t>
              <w:br/>
              <w:t xml:space="preserve">Warrants, and Rights and Vesting of Stock Awards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w:t>
              <w:br/>
              <w:t>Available for Future</w:t>
              <w:br/>
              <w:t>Issuance Under Equity</w:t>
              <w:br/>
              <w:t>Compensation Plans</w:t>
              <w:br/>
              <w:t>(excludes securities</w:t>
              <w:br/>
              <w:t xml:space="preserve">Reflected in first column) </w:t>
            </w:r>
            <w:r>
              <w:rPr>
                <w:rFonts w:ascii="Times New Roman" w:hAnsi="Times New Roman"/>
                <w:b/>
                <w:color w:val="000000"/>
                <w:sz w:val="11"/>
              </w:rPr>
              <w:t>(2)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14,615,476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8,178,038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8,178,038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Consists of 1,022,489 outstanding options under the 2014 Stock Incentive Plan (the “2014 Plan”), 8,067,661 outstanding options (including 650,000 warrants issued to consultant) and 5,525,326 nonvested RSUs under the 2021 Incentive Award Plan (the “2021 Plan”).</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 xml:space="preserve">Consists of zero securities available for future issuance under the 2014 Plan, 3,604,436 securities available for future issuance under the 2021 Plan and 4,573,602 securities available for future issuance under the Employee Stock Purchase Plan (the “2021 ESPP”). </w:t>
      </w:r>
    </w:p>
    <w:p>
      <w:pPr>
        <w:pStyle w:val="TextBody"/>
        <w:bidi w:val="0"/>
        <w:spacing w:before="360" w:after="283"/>
        <w:jc w:val="left"/>
        <w:rPr>
          <w:rFonts w:ascii="Times New Roman" w:hAnsi="Times New Roman"/>
          <w:b/>
          <w:color w:val="000000"/>
          <w:sz w:val="20"/>
        </w:rPr>
      </w:pPr>
      <w:bookmarkStart w:id="6" w:name="item_13_certain_relationships"/>
      <w:bookmarkEnd w:id="6"/>
      <w:r>
        <w:rPr>
          <w:rFonts w:ascii="Times New Roman" w:hAnsi="Times New Roman"/>
          <w:b/>
          <w:color w:val="000000"/>
          <w:sz w:val="20"/>
        </w:rPr>
        <w:t>Item 13. CERTAIN RELATIONSHIPS AND RELATED TRANSACTIONS, AND DIRECTOR INDEPENDENCE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Policies and Procedures for Related Person Transactions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in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under the Company's Related Person Transaction Policy,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No director may participate in approval of a related person transaction for which he or she is a related person.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TRANSACTIONS RELATED TO DIRECTORS, EQUITY HOLDERS AND EXECUTIVE OFFICERS</w:t>
      </w:r>
      <w:r>
        <w:rPr>
          <w:rFonts w:ascii="Times New Roman" w:hAnsi="Times New Roman"/>
          <w:color w:val="000000"/>
          <w:sz w:val="20"/>
        </w:rPr>
        <w:t xml:space="preserve"> </w:t>
      </w:r>
    </w:p>
    <w:p>
      <w:pPr>
        <w:pStyle w:val="TextBody"/>
        <w:bidi w:val="0"/>
        <w:spacing w:before="240" w:after="160"/>
        <w:jc w:val="left"/>
        <w:rPr>
          <w:rFonts w:ascii="Times New Roman" w:hAnsi="Times New Roman"/>
          <w:sz w:val="20"/>
        </w:rPr>
      </w:pPr>
      <w:r>
        <w:rPr>
          <w:rFonts w:ascii="Times New Roman" w:hAnsi="Times New Roman"/>
          <w:b/>
          <w:i/>
          <w:color w:val="000000"/>
          <w:sz w:val="20"/>
        </w:rPr>
        <w:t>Registration Rights Agreement</w:t>
      </w:r>
      <w:r>
        <w:rPr>
          <w:rFonts w:ascii="Times New Roman" w:hAnsi="Times New Roman"/>
          <w:color w:val="000000"/>
          <w:sz w:val="20"/>
        </w:rPr>
        <w:t xml:space="preserve"> </w:t>
      </w:r>
    </w:p>
    <w:p>
      <w:pPr>
        <w:pStyle w:val="TextBody"/>
        <w:bidi w:val="0"/>
        <w:spacing w:before="20" w:after="160"/>
        <w:jc w:val="both"/>
        <w:rPr>
          <w:rFonts w:ascii="Times New Roman" w:hAnsi="Times New Roman"/>
          <w:color w:val="000000"/>
          <w:sz w:val="20"/>
        </w:rPr>
      </w:pPr>
      <w:r>
        <w:rPr>
          <w:rFonts w:ascii="Times New Roman" w:hAnsi="Times New Roman"/>
          <w:color w:val="000000"/>
          <w:sz w:val="20"/>
        </w:rPr>
        <w:t xml:space="preserve">At the closing of the Business Combination, HEC, the HEC Sponsor LLC (the “Sponsor”), Talkspace’s independent directors, certain former stockholders of Talkspace and certain other parties thereto entered into an Amended and Restated Registration Rights Agreement, pursuant to which Talkspace, Inc. agreed to register for resale, pursuant to Rule 415 under the Securities Act, certain shares of Talkspace common stock and other equity securities of Talkspace that are held by the parties thereto from time to time. </w:t>
      </w:r>
    </w:p>
    <w:p>
      <w:pPr>
        <w:pStyle w:val="TextBody"/>
        <w:bidi w:val="0"/>
        <w:jc w:val="left"/>
        <w:rPr>
          <w:rFonts w:ascii="Times New Roman" w:hAnsi="Times New Roman"/>
          <w:b/>
          <w:i/>
          <w:color w:val="000000"/>
          <w:sz w:val="20"/>
        </w:rPr>
      </w:pPr>
      <w:r>
        <w:rPr>
          <w:rFonts w:ascii="Times New Roman" w:hAnsi="Times New Roman"/>
          <w:b/>
          <w:i/>
          <w:color w:val="000000"/>
          <w:sz w:val="20"/>
        </w:rPr>
        <w:t>Director and Officer Indemnification</w:t>
      </w:r>
    </w:p>
    <w:p>
      <w:pPr>
        <w:pStyle w:val="TextBody"/>
        <w:bidi w:val="0"/>
        <w:spacing w:before="180" w:after="160"/>
        <w:jc w:val="left"/>
        <w:rPr>
          <w:rFonts w:ascii="Times New Roman" w:hAnsi="Times New Roman"/>
          <w:color w:val="000000"/>
          <w:sz w:val="20"/>
        </w:rPr>
      </w:pPr>
      <w:r>
        <w:rPr>
          <w:rFonts w:ascii="Times New Roman" w:hAnsi="Times New Roman"/>
          <w:color w:val="000000"/>
          <w:sz w:val="20"/>
        </w:rPr>
        <w:t>Our Certificate of Incorporation provides for indemnification and advancement of expenses for our directors and officers to the fullest extent permitted by the DGCL, subject to certain limited exceptions. In addition, we have entered into indemnification agreements with each director and executive officer of Talkspace, Inc.</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Independence of the Board of Directors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of Directors has affirmatively determined that as of December 2025, each of our directors, with the exception of Mr. Braunstein, Mr. Cohen, and Ms. Pawar, is “independent” as defined under the Nasdaq Rules. Mr. Braunstein is not considered independent because his spouse was employed by the Company as an Executive Officer in 2022. Mr. Cohen is not considered independent because he currently serves as our Chief Executive Officer. Ms. Pawar is not considered independent because of the position she holds at United Healthcare. As part of the Board’s review of the independence of Board members, questionnaires are used on an annual basis (or when a new director is added) to gather input to assist the Nominating and Corporate Governance Committee and the Board in their determinations of the independence of the non-employee directors. In evaluating and determining the independence of the directors, the Board considered that Talkspace may have certain relationships with its directors. Specifically, the Board of Directors considered that certain of our directors are affiliated with significant stockholders of the Company.</w:t>
      </w:r>
    </w:p>
    <w:p>
      <w:pPr>
        <w:pStyle w:val="TextBody"/>
        <w:bidi w:val="0"/>
        <w:spacing w:before="360" w:after="283"/>
        <w:jc w:val="left"/>
        <w:rPr>
          <w:rFonts w:ascii="Times New Roman" w:hAnsi="Times New Roman"/>
          <w:b/>
          <w:color w:val="000000"/>
          <w:sz w:val="20"/>
        </w:rPr>
      </w:pPr>
      <w:bookmarkStart w:id="7" w:name="item_14_principal_accounting_fees"/>
      <w:bookmarkEnd w:id="7"/>
      <w:r>
        <w:rPr>
          <w:rFonts w:ascii="Times New Roman" w:hAnsi="Times New Roman"/>
          <w:b/>
          <w:color w:val="000000"/>
          <w:sz w:val="20"/>
        </w:rPr>
        <w:t>Item 14. PRINCIPAL ACCOUNTING FEES AND SERVICES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fees of Kost Forer Gabbay &amp; Kasierer, a member of EY Global (“Kost Forer Gabbay &amp; Kasierer”), our independent registered public accounting firm, for services rendered during the fiscal year ended December 31, 2025 and 2024: </w:t>
      </w:r>
    </w:p>
    <w:p>
      <w:pPr>
        <w:pStyle w:val="TextBody"/>
        <w:bidi w:val="0"/>
        <w:jc w:val="both"/>
        <w:rPr/>
      </w:pPr>
      <w:r>
        <w:rPr/>
        <w:t> </w:t>
      </w:r>
    </w:p>
    <w:tbl>
      <w:tblPr>
        <w:tblW w:w="3874" w:type="dxa"/>
        <w:jc w:val="left"/>
        <w:tblInd w:w="0" w:type="dxa"/>
        <w:tblLayout w:type="fixed"/>
        <w:tblCellMar>
          <w:top w:w="28" w:type="dxa"/>
          <w:left w:w="28" w:type="dxa"/>
          <w:bottom w:w="28" w:type="dxa"/>
          <w:right w:w="28" w:type="dxa"/>
        </w:tblCellMar>
      </w:tblPr>
      <w:tblGrid>
        <w:gridCol w:w="1681"/>
        <w:gridCol w:w="146"/>
        <w:gridCol w:w="211"/>
        <w:gridCol w:w="57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Audit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for audit services include fees associated with the annual audit, including the audit of internal control over financial reporting, reviews of the Company's quarterly reports on Form 10-Q and statutory audits required internationally. These fees include consents and assistance with, and review of, documents filed with the SEC.</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Audit-Related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fees incurred in connection with the acquisition of Wisdo, Inc in the fourth quarter of 2025.</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Tax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fees consist of tax compliance including the review of tax returns and tax advice services.</w:t>
      </w:r>
    </w:p>
    <w:p>
      <w:pPr>
        <w:pStyle w:val="TextBody"/>
        <w:bidi w:val="0"/>
        <w:spacing w:before="60" w:after="283"/>
        <w:jc w:val="both"/>
        <w:rPr/>
      </w:pPr>
      <w:r>
        <w:rPr/>
        <w:t> </w:t>
      </w:r>
    </w:p>
    <w:p>
      <w:pPr>
        <w:pStyle w:val="TextBody"/>
        <w:bidi w:val="0"/>
        <w:spacing w:before="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Kost Forer Gabbay &amp; Kasierer, a member of EY Global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Kost Forer Gabbay &amp; Kasierer, a member of EY Global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Audit Committee pre-approved all audit, audit-related, and permissible non-audit services provided to the Company by Kost Forer Gabbay &amp; Kasierer before management engaged the auditors for those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8" w:name="item_15_exhibits_financial_statement"/>
      <w:bookmarkEnd w:id="8"/>
      <w:r>
        <w:rPr>
          <w:rFonts w:ascii="Times New Roman" w:hAnsi="Times New Roman"/>
          <w:b/>
          <w:color w:val="000000"/>
          <w:sz w:val="20"/>
        </w:rPr>
        <w:t>Item 15. EXHIBITS AND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rFonts w:ascii="Times New Roman" w:hAnsi="Times New Roman"/>
          <w:color w:val="000000"/>
          <w:sz w:val="20"/>
        </w:rPr>
      </w:pPr>
      <w:r>
        <w:rPr>
          <w:rFonts w:ascii="Times New Roman" w:hAnsi="Times New Roman"/>
          <w:color w:val="000000"/>
          <w:sz w:val="20"/>
        </w:rPr>
        <w:t>See the Exhibit Index included hereinafter.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exhibit_index"/>
      <w:bookmarkEnd w:id="9"/>
      <w:r>
        <w:rPr>
          <w:rFonts w:ascii="Times New Roman" w:hAnsi="Times New Roman"/>
          <w:b/>
          <w:color w:val="000000"/>
          <w:sz w:val="20"/>
        </w:rPr>
        <w:t>EXHIBIT 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2"/>
        <w:gridCol w:w="146"/>
        <w:gridCol w:w="5591"/>
        <w:gridCol w:w="519"/>
        <w:gridCol w:w="764"/>
        <w:gridCol w:w="631"/>
        <w:gridCol w:w="639"/>
        <w:gridCol w:w="1183"/>
      </w:tblGrid>
      <w:tr>
        <w:trPr/>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Incorporated by Reference</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1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Furnished Herewith</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18"/>
                <w:u w:val="single"/>
                <w:rFonts w:ascii="Times New Roman" w:hAnsi="Times New Roman"/>
                <w:color w:val="0000FF"/>
              </w:rPr>
              <w:instrText xml:space="preserve"> HYPERLINK "https://www.sec.gov/Archives/edgar/data/1803901/000119312521025013/d119648ds4.htm" \l "rom119648_45"</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2.1</w:t>
            </w:r>
            <w:r>
              <w:rPr>
                <w:rStyle w:val="InternetLink"/>
                <w:sz w:val="18"/>
                <w:u w:val="single"/>
                <w:rFonts w:ascii="Times New Roman" w:hAnsi="Times New Roman"/>
                <w:color w:val="0000FF"/>
              </w:rPr>
              <w:fldChar w:fldCharType="end"/>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18"/>
                <w:u w:val="single"/>
                <w:rFonts w:ascii="Times New Roman" w:hAnsi="Times New Roman"/>
                <w:color w:val="0000FF"/>
              </w:rPr>
              <w:instrText xml:space="preserve"> HYPERLINK "https://www.sec.gov/Archives/edgar/data/1803901/000119312521025013/d119648ds4.htm" \l "rom119648_45"</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Agreement and Plan of Merger, dated as of January 12, 2021, by and among Hudson Executive Investment Corp., Tailwind Merger Sub I, Inc., Tailwind Merger Sub II, LLC, and Groop Internet Platform, Inc. (d/b/a Talkspace).</w:t>
            </w:r>
            <w:r>
              <w:rPr>
                <w:rStyle w:val="InternetLink"/>
                <w:sz w:val="18"/>
                <w:u w:val="single"/>
                <w:rFonts w:ascii="Times New Roman" w:hAnsi="Times New Roman"/>
                <w:color w:val="0000FF"/>
              </w:rPr>
              <w:fldChar w:fldCharType="end"/>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S-4</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333-252638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Second Amended and Restated Certificate of Incorporation of Talkspace, Inc.</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8-K/A</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Bylaws of Talkspace, Inc.</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8-K/A</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Warrant Agreement, dated as of June 8, 2020, by and between Continental Stock Transfer &amp; Trust Company and Hudson Executive Investment Corp.</w:t>
              </w:r>
            </w:hyperlink>
            <w:hyperlink r:id="rId8">
              <w:r>
                <w:rPr>
                  <w:rStyle w:val="InternetLink"/>
                  <w:rFonts w:ascii="Times New Roman" w:hAnsi="Times New Roman"/>
                  <w:color w:val="0000FF"/>
                  <w:sz w:val="18"/>
                </w:rPr>
                <w:t xml:space="preserve"> </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4.2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Specimen Warrant Certificate of the Registrant.</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333-238583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6/5/20</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18"/>
                  <w:u w:val="single"/>
                </w:rPr>
                <w:t>4.3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Specimen Common Stock Certificate.</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S-4/A</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333-252638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4.4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Description of Common Stock and Warrants.</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2/25/22</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10.1</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2021 Incentive Award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S-8</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333-259165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10.2</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2021 Employee Stock Purchase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S-8</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333-259165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10.3</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2014 Stock Incentive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S-8</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333-259165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99.3</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10.4</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Form of Indemnification Agreement.</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8"/>
                  <w:u w:val="single"/>
                </w:rPr>
                <w:t>10.5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Amended and Restated Registration Rights Agreement, by and among Talkspace, Inc. and the holders party thereto.</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8"/>
                  <w:u w:val="single"/>
                </w:rPr>
                <w:t>10.6</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8"/>
                  <w:u w:val="single"/>
                </w:rPr>
                <w:t>Non-Employee Director Compensation Program.</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8"/>
                  <w:u w:val="single"/>
                </w:rPr>
                <w:t>10.7</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8"/>
                  <w:u w:val="single"/>
                </w:rPr>
                <w:t>Form of Stock Option Agreement under the Talkspace, Inc. 2021 Incentive Award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10.7(a)</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8"/>
                  <w:u w:val="single"/>
                </w:rPr>
                <w:t>10.8</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8"/>
                  <w:u w:val="single"/>
                </w:rPr>
                <w:t>Form of Restricted Stock Unit Agreement under the Talkspace, Inc. 2021 Incentive Award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10.7(b)</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8"/>
                  <w:u w:val="single"/>
                </w:rPr>
                <w:t>10.9</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8"/>
                  <w:u w:val="single"/>
                </w:rPr>
                <w:t>Executive Severance Plan.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001-39314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10.9</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6/23/21</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18"/>
                  <w:u w:val="single"/>
                </w:rPr>
                <w:t>10.16</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8"/>
                  <w:u w:val="single"/>
                </w:rPr>
                <w:t>Employment Offer Letter, dated as of June 22, 2021, by and between Talkspace, Inc. and Gil Margolin.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10.16</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2/25/22</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8"/>
                  <w:u w:val="single"/>
                </w:rPr>
                <w:t>10.18</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8"/>
                  <w:u w:val="single"/>
                </w:rPr>
                <w:t>Employment Offer Letter, dated as of June 22, 2021, by and between Talkspace, Inc. and John C. Reilly.</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10.18</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2/25/22</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8"/>
                  <w:u w:val="single"/>
                </w:rPr>
                <w:t>10.19</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8"/>
                  <w:u w:val="single"/>
                </w:rPr>
                <w:t>Retention Agreement, dated as of December 6, 2021, by and between Talkspace, Inc. and Gil Margolin.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2/25/22</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18"/>
                  <w:u w:val="single"/>
                </w:rPr>
                <w:t>10.21</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8"/>
                  <w:u w:val="single"/>
                </w:rPr>
                <w:t>Retention Agreement, dated as of December 6, 2021, by and between Talkspace, Inc. and John C. Reilly.</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2/25/22</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18"/>
                  <w:u w:val="single"/>
                </w:rPr>
                <w:t>10.22</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18"/>
                  <w:u w:val="single"/>
                </w:rPr>
                <w:t>Employment Offer Letter, dated as of November 9, 2022, by and between Talkspace, Inc. and Jon R. Cohen.</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3/10/23</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18"/>
                  <w:u w:val="single"/>
                </w:rPr>
                <w:t>10.23</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18"/>
                  <w:u w:val="single"/>
                </w:rPr>
                <w:t>Employment Offer Letter, dated as of August 11, 2023, by and between Talkspace, Inc. and Nikole Benders-Hadi.</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10.23</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3/13/24</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18"/>
                  <w:u w:val="single"/>
                </w:rPr>
                <w:t>97.1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18"/>
                  <w:u w:val="single"/>
                </w:rPr>
                <w:t>Talkspace, Inc. Clawback Policy.</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97.1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3/13/24</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18"/>
                  <w:u w:val="single"/>
                </w:rPr>
                <w:t>10.24</w:t>
              </w:r>
            </w:hyperlink>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18"/>
                  <w:u w:val="single"/>
                </w:rPr>
                <w:t>Employment Offer Letter, dated as of May 17, 2024, by and between Talkspace, Inc. and Ian Harris.</w:t>
              </w:r>
            </w:hyperlink>
          </w:p>
        </w:tc>
        <w:tc>
          <w:tcPr>
            <w:tcW w:w="519" w:type="dxa"/>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10-Q</w:t>
            </w:r>
          </w:p>
        </w:tc>
        <w:tc>
          <w:tcPr>
            <w:tcW w:w="764" w:type="dxa"/>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10.24</w:t>
            </w:r>
          </w:p>
        </w:tc>
        <w:tc>
          <w:tcPr>
            <w:tcW w:w="639" w:type="dxa"/>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8/8/24</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18"/>
                  <w:u w:val="single"/>
                </w:rPr>
                <w:t>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18"/>
                  <w:u w:val="single"/>
                </w:rPr>
                <w:t>Agreement and Plan of Merger, dated March 9, 2026, by and among Universal Health Services, Inc., UHS Merger Subsidiary, Inc. and Talkspace, Inc.</w:t>
              </w:r>
            </w:hyperlink>
          </w:p>
        </w:tc>
        <w:tc>
          <w:tcPr>
            <w:tcW w:w="51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8-K</w:t>
            </w:r>
          </w:p>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001-39314</w:t>
            </w:r>
          </w:p>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18"/>
                  <w:u w:val="single"/>
                </w:rPr>
                <w:t>19.1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18"/>
                  <w:u w:val="single"/>
                </w:rPr>
                <w:t>Talkspace, Inc. Insider Trading Policy.</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19.1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18"/>
                  <w:u w:val="single"/>
                </w:rPr>
                <w:t>21.1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18"/>
                  <w:u w:val="single"/>
                </w:rPr>
                <w:t>List of Subsidiaries of Talkspace, Inc.</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21.1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18"/>
                  <w:u w:val="single"/>
                </w:rPr>
                <w:t>23.1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18"/>
                  <w:u w:val="single"/>
                </w:rPr>
                <w:t>Consent of Kost Forer Gabbay &amp; Kasierer, a member of EY Global, Independent Registered Public Accounting Firm.</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23.1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18"/>
                  <w:u w:val="single"/>
                </w:rPr>
                <w:t>31.1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18"/>
                  <w:u w:val="single"/>
                </w:rPr>
                <w:t>Certification of Chief Executive Officer pursuant to Rule 13a-14(a)/15d-14(a).</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18"/>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18"/>
                  <w:u w:val="single"/>
                </w:rPr>
                <w:t>Certification of Chief Financial Officer pursuant to Rule 13a-14(a)/15d-14(a).</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alk-ex31_3.htm">
              <w:r>
                <w:rPr>
                  <w:rStyle w:val="InternetLink"/>
                  <w:rFonts w:ascii="Times New Roman" w:hAnsi="Times New Roman"/>
                  <w:color w:val="0000FF"/>
                  <w:sz w:val="18"/>
                  <w:u w:val="single"/>
                </w:rPr>
                <w:t>31.3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alk-ex31_3.htm">
              <w:r>
                <w:rPr>
                  <w:rStyle w:val="InternetLink"/>
                  <w:rFonts w:ascii="Times New Roman" w:hAnsi="Times New Roman"/>
                  <w:color w:val="0000FF"/>
                  <w:sz w:val="18"/>
                  <w:u w:val="single"/>
                </w:rPr>
                <w:t>Certification of Chief Executive Officer pursuant to Rule 13a-14(a)/15d-14(a).</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alk-ex31_4.htm">
              <w:r>
                <w:rPr>
                  <w:rStyle w:val="InternetLink"/>
                  <w:rFonts w:ascii="Times New Roman" w:hAnsi="Times New Roman"/>
                  <w:color w:val="0000FF"/>
                  <w:sz w:val="18"/>
                  <w:u w:val="single"/>
                </w:rPr>
                <w:t>31.4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alk-ex31_4.htm">
              <w:r>
                <w:rPr>
                  <w:rStyle w:val="InternetLink"/>
                  <w:rFonts w:ascii="Times New Roman" w:hAnsi="Times New Roman"/>
                  <w:color w:val="0000FF"/>
                  <w:sz w:val="18"/>
                  <w:u w:val="single"/>
                </w:rPr>
                <w:t>Certification of Chief Financial Officer pursuant to Rule 13a-14(a)/15d-14(a).</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18"/>
                  <w:u w:val="single"/>
                </w:rPr>
                <w:t>32.1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18"/>
                  <w:u w:val="single"/>
                </w:rPr>
                <w:t>Certification of Chief Executive Officer pursuant to 18 U.S.C. Section 1350.</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32.1</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18"/>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18"/>
                  <w:u w:val="single"/>
                </w:rPr>
                <w:t>Certification of Chief Financial Officer pursuant to 18 U.S.C. Section 1350.</w:t>
              </w:r>
            </w:hyperlink>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10-K</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001-39314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32.2</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3/13/26</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XBRL tags are embedded within the Inline XBRL document.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6928" w:type="dxa"/>
        <w:jc w:val="left"/>
        <w:tblInd w:w="0" w:type="dxa"/>
        <w:tblLayout w:type="fixed"/>
        <w:tblCellMar>
          <w:top w:w="28" w:type="dxa"/>
          <w:left w:w="28" w:type="dxa"/>
          <w:bottom w:w="28" w:type="dxa"/>
          <w:right w:w="28" w:type="dxa"/>
        </w:tblCellMar>
      </w:tblPr>
      <w:tblGrid>
        <w:gridCol w:w="391"/>
        <w:gridCol w:w="146"/>
        <w:gridCol w:w="5566"/>
        <w:gridCol w:w="146"/>
        <w:gridCol w:w="146"/>
        <w:gridCol w:w="146"/>
        <w:gridCol w:w="146"/>
        <w:gridCol w:w="241"/>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Cover Page Interactive Data File (as formatted as Inline XBRL and contained</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r>
    </w:tbl>
    <w:p>
      <w:pPr>
        <w:pStyle w:val="TextBody"/>
        <w:pBdr>
          <w:bottom w:val="single" w:sz="4" w:space="1" w:color="000000"/>
        </w:pBdr>
        <w:bidi w:val="0"/>
        <w:jc w:val="left"/>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 Filed herewith.</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 Indicates management contract or compensatory plan.</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 Schedules and exhibits have been omitted pursuant to Item 601(b)(2) of Regulation S-K. The Registrant agrees to furnish supplementally a copy of any omitted schedule or exhibit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0" w:name="signatures"/>
      <w:bookmarkEnd w:id="10"/>
      <w:r>
        <w:rPr>
          <w:rFonts w:ascii="Times New Roman" w:hAnsi="Times New Roman"/>
          <w:b/>
          <w:color w:val="000000"/>
          <w:sz w:val="20"/>
        </w:rPr>
        <w:t>SIGNATURES</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Amendment No. 1 to Form 10-K to be signed on its behalf by the undersigned, thereunto duly authorized.</w:t>
      </w:r>
    </w:p>
    <w:p>
      <w:pPr>
        <w:pStyle w:val="TextBody"/>
        <w:bidi w:val="0"/>
        <w:jc w:val="left"/>
        <w:rPr/>
      </w:pPr>
      <w:r>
        <w:rPr/>
        <w:t> </w:t>
      </w:r>
    </w:p>
    <w:tbl>
      <w:tblPr>
        <w:tblW w:w="2049" w:type="dxa"/>
        <w:jc w:val="left"/>
        <w:tblInd w:w="0" w:type="dxa"/>
        <w:tblLayout w:type="fixed"/>
        <w:tblCellMar>
          <w:top w:w="28" w:type="dxa"/>
          <w:left w:w="28" w:type="dxa"/>
          <w:bottom w:w="28" w:type="dxa"/>
          <w:right w:w="28" w:type="dxa"/>
        </w:tblCellMar>
      </w:tblPr>
      <w:tblGrid>
        <w:gridCol w:w="124"/>
        <w:gridCol w:w="109"/>
        <w:gridCol w:w="1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TALKSPACE, INC.</w:t>
            </w:r>
          </w:p>
        </w:tc>
      </w:tr>
    </w:tbl>
    <w:p>
      <w:pPr>
        <w:pStyle w:val="TextBody"/>
        <w:bidi w:val="0"/>
        <w:jc w:val="left"/>
        <w:rPr/>
      </w:pPr>
      <w:r>
        <w:rPr/>
        <w:t> </w:t>
      </w:r>
    </w:p>
    <w:tbl>
      <w:tblPr>
        <w:tblW w:w="4312" w:type="dxa"/>
        <w:jc w:val="left"/>
        <w:tblInd w:w="0" w:type="dxa"/>
        <w:tblLayout w:type="fixed"/>
        <w:tblCellMar>
          <w:top w:w="28" w:type="dxa"/>
          <w:left w:w="28" w:type="dxa"/>
          <w:bottom w:w="28" w:type="dxa"/>
          <w:right w:w="28" w:type="dxa"/>
        </w:tblCellMar>
      </w:tblPr>
      <w:tblGrid>
        <w:gridCol w:w="1786"/>
        <w:gridCol w:w="109"/>
        <w:gridCol w:w="40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Harris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 w:name="talk-ex31_3.htm"/>
      <w:bookmarkStart w:id="12" w:name="kstalkex31_3"/>
      <w:bookmarkEnd w:id="11"/>
      <w:bookmarkEnd w:id="12"/>
      <w:r>
        <w:rPr>
          <w:rFonts w:ascii="Times New Roman" w:hAnsi="Times New Roman"/>
          <w:b/>
          <w:color w:val="000000"/>
          <w:sz w:val="20"/>
        </w:rPr>
        <w:t>Exhibit 31.3</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360" w:after="283"/>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Jon Cohen,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Form 10-K/A of Talkspace, Inc.;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tbl>
      <w:tblPr>
        <w:tblW w:w="3115" w:type="dxa"/>
        <w:jc w:val="left"/>
        <w:tblInd w:w="0" w:type="dxa"/>
        <w:tblLayout w:type="fixed"/>
        <w:tblCellMar>
          <w:top w:w="28" w:type="dxa"/>
          <w:left w:w="28" w:type="dxa"/>
          <w:bottom w:w="28" w:type="dxa"/>
          <w:right w:w="28" w:type="dxa"/>
        </w:tblCellMar>
      </w:tblPr>
      <w:tblGrid>
        <w:gridCol w:w="124"/>
        <w:gridCol w:w="109"/>
        <w:gridCol w:w="40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 Cohen</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3" w:name="talk-ex31_4.htm"/>
      <w:bookmarkStart w:id="14" w:name="kstalkex31_4"/>
      <w:bookmarkEnd w:id="13"/>
      <w:bookmarkEnd w:id="14"/>
      <w:r>
        <w:rPr>
          <w:rFonts w:ascii="Times New Roman" w:hAnsi="Times New Roman"/>
          <w:b/>
          <w:color w:val="000000"/>
          <w:sz w:val="20"/>
        </w:rPr>
        <w:t>Exhibit 31.4</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360" w:after="283"/>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Ian Harris,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Form 10-K/A of Talkspace, Inc.;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tbl>
      <w:tblPr>
        <w:tblW w:w="3055" w:type="dxa"/>
        <w:jc w:val="left"/>
        <w:tblInd w:w="0" w:type="dxa"/>
        <w:tblLayout w:type="fixed"/>
        <w:tblCellMar>
          <w:top w:w="28" w:type="dxa"/>
          <w:left w:w="28" w:type="dxa"/>
          <w:bottom w:w="28" w:type="dxa"/>
          <w:right w:w="28" w:type="dxa"/>
        </w:tblCellMar>
      </w:tblPr>
      <w:tblGrid>
        <w:gridCol w:w="124"/>
        <w:gridCol w:w="109"/>
        <w:gridCol w:w="40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Harris</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3901/000119312521197385/d182715dex31.htm" TargetMode="External"/><Relationship Id="rId3" Type="http://schemas.openxmlformats.org/officeDocument/2006/relationships/hyperlink" Target="https://www.sec.gov/Archives/edgar/data/1803901/000119312521197385/d182715dex31.htm" TargetMode="External"/><Relationship Id="rId4" Type="http://schemas.openxmlformats.org/officeDocument/2006/relationships/hyperlink" Target="https://www.sec.gov/Archives/edgar/data/1803901/000119312521197385/d182715dex32.htm" TargetMode="External"/><Relationship Id="rId5" Type="http://schemas.openxmlformats.org/officeDocument/2006/relationships/hyperlink" Target="https://www.sec.gov/Archives/edgar/data/1803901/000119312521197385/d182715dex32.htm" TargetMode="External"/><Relationship Id="rId6" Type="http://schemas.openxmlformats.org/officeDocument/2006/relationships/hyperlink" Target="https://www.sec.gov/Archives/edgar/data/0001803901/000119312520166711/d937996dex41.htm" TargetMode="External"/><Relationship Id="rId7" Type="http://schemas.openxmlformats.org/officeDocument/2006/relationships/hyperlink" Target="https://www.sec.gov/Archives/edgar/data/0001803901/000119312520166711/d937996dex41.htm" TargetMode="External"/><Relationship Id="rId8" Type="http://schemas.openxmlformats.org/officeDocument/2006/relationships/hyperlink" Target="https://www.sec.gov/Archives/edgar/data/0001803901/000119312520166711/d937996dex41.htm" TargetMode="External"/><Relationship Id="rId9" Type="http://schemas.openxmlformats.org/officeDocument/2006/relationships/hyperlink" Target="https://www.sec.gov/Archives/edgar/data/0001803901/000119312520161434/d846732dex43.htm" TargetMode="External"/><Relationship Id="rId10" Type="http://schemas.openxmlformats.org/officeDocument/2006/relationships/hyperlink" Target="https://www.sec.gov/Archives/edgar/data/0001803901/000119312520161434/d846732dex43.htm" TargetMode="External"/><Relationship Id="rId11" Type="http://schemas.openxmlformats.org/officeDocument/2006/relationships/hyperlink" Target="https://www.sec.gov/Archives/edgar/data/0001803901/000119312521167533/d119648dex45.htm" TargetMode="External"/><Relationship Id="rId12" Type="http://schemas.openxmlformats.org/officeDocument/2006/relationships/hyperlink" Target="https://www.sec.gov/Archives/edgar/data/0001803901/000119312521167533/d119648dex45.htm" TargetMode="External"/><Relationship Id="rId13" Type="http://schemas.openxmlformats.org/officeDocument/2006/relationships/hyperlink" Target="https://www.sec.gov/Archives/edgar/data/1803901/000095017022002102/talk-ex4_4.htm" TargetMode="External"/><Relationship Id="rId14" Type="http://schemas.openxmlformats.org/officeDocument/2006/relationships/hyperlink" Target="https://www.sec.gov/Archives/edgar/data/1803901/000095017022002102/talk-ex4_4.htm" TargetMode="External"/><Relationship Id="rId15" Type="http://schemas.openxmlformats.org/officeDocument/2006/relationships/hyperlink" Target="https://www.sec.gov/Archives/edgar/data/0001803901/000119312521260654/d552255dex991.htm" TargetMode="External"/><Relationship Id="rId16" Type="http://schemas.openxmlformats.org/officeDocument/2006/relationships/hyperlink" Target="https://www.sec.gov/Archives/edgar/data/0001803901/000119312521260654/d552255dex991.htm" TargetMode="External"/><Relationship Id="rId17" Type="http://schemas.openxmlformats.org/officeDocument/2006/relationships/hyperlink" Target="https://www.sec.gov/Archives/edgar/data/0001803901/000119312521260654/d552255dex992.htm" TargetMode="External"/><Relationship Id="rId18" Type="http://schemas.openxmlformats.org/officeDocument/2006/relationships/hyperlink" Target="https://www.sec.gov/Archives/edgar/data/0001803901/000119312521260654/d552255dex992.htm" TargetMode="External"/><Relationship Id="rId19" Type="http://schemas.openxmlformats.org/officeDocument/2006/relationships/hyperlink" Target="https://www.sec.gov/Archives/edgar/data/0001803901/000119312521260654/d552255dex993.htm" TargetMode="External"/><Relationship Id="rId20" Type="http://schemas.openxmlformats.org/officeDocument/2006/relationships/hyperlink" Target="https://www.sec.gov/Archives/edgar/data/0001803901/000119312521260654/d552255dex993.htm" TargetMode="External"/><Relationship Id="rId21" Type="http://schemas.openxmlformats.org/officeDocument/2006/relationships/hyperlink" Target="https://www.sec.gov/Archives/edgar/data/0001803901/000119312521197353/d136958dex101.htm" TargetMode="External"/><Relationship Id="rId22" Type="http://schemas.openxmlformats.org/officeDocument/2006/relationships/hyperlink" Target="https://www.sec.gov/Archives/edgar/data/0001803901/000119312521197353/d136958dex101.htm" TargetMode="External"/><Relationship Id="rId23" Type="http://schemas.openxmlformats.org/officeDocument/2006/relationships/hyperlink" Target="https://www.sec.gov/Archives/edgar/data/0001803901/000119312521197353/d136958dex102.htm" TargetMode="External"/><Relationship Id="rId24" Type="http://schemas.openxmlformats.org/officeDocument/2006/relationships/hyperlink" Target="https://www.sec.gov/Archives/edgar/data/0001803901/000119312521197353/d136958dex102.htm" TargetMode="External"/><Relationship Id="rId25" Type="http://schemas.openxmlformats.org/officeDocument/2006/relationships/hyperlink" Target="https://www.sec.gov/Archives/edgar/data/1803901/000119312521197385/d182715dex103.htm" TargetMode="External"/><Relationship Id="rId26" Type="http://schemas.openxmlformats.org/officeDocument/2006/relationships/hyperlink" Target="https://www.sec.gov/Archives/edgar/data/1803901/000119312521197385/d182715dex103.htm" TargetMode="External"/><Relationship Id="rId27" Type="http://schemas.openxmlformats.org/officeDocument/2006/relationships/hyperlink" Target="https://www.sec.gov/Archives/edgar/data/0001803901/000119312521197353/d136958dex107a.htm" TargetMode="External"/><Relationship Id="rId28" Type="http://schemas.openxmlformats.org/officeDocument/2006/relationships/hyperlink" Target="https://www.sec.gov/Archives/edgar/data/0001803901/000119312521197353/d136958dex107a.htm" TargetMode="External"/><Relationship Id="rId29" Type="http://schemas.openxmlformats.org/officeDocument/2006/relationships/hyperlink" Target="https://www.sec.gov/Archives/edgar/data/0001803901/000119312521197353/d136958dex107b.htm" TargetMode="External"/><Relationship Id="rId30" Type="http://schemas.openxmlformats.org/officeDocument/2006/relationships/hyperlink" Target="https://www.sec.gov/Archives/edgar/data/0001803901/000119312521197353/d136958dex107b.htm" TargetMode="External"/><Relationship Id="rId31" Type="http://schemas.openxmlformats.org/officeDocument/2006/relationships/hyperlink" Target="https://www.sec.gov/Archives/edgar/data/0001803901/000119312521197353/d136958dex109.htm" TargetMode="External"/><Relationship Id="rId32" Type="http://schemas.openxmlformats.org/officeDocument/2006/relationships/hyperlink" Target="https://www.sec.gov/Archives/edgar/data/0001803901/000119312521197353/d136958dex109.htm" TargetMode="External"/><Relationship Id="rId33" Type="http://schemas.openxmlformats.org/officeDocument/2006/relationships/hyperlink" Target="https://www.sec.gov/Archives/edgar/data/1803901/000095017022002102/talk-ex10_16.htm" TargetMode="External"/><Relationship Id="rId34" Type="http://schemas.openxmlformats.org/officeDocument/2006/relationships/hyperlink" Target="https://www.sec.gov/Archives/edgar/data/1803901/000095017022002102/talk-ex10_16.htm" TargetMode="External"/><Relationship Id="rId35" Type="http://schemas.openxmlformats.org/officeDocument/2006/relationships/hyperlink" Target="https://www.sec.gov/Archives/edgar/data/1803901/000095017022002102/talk-ex10_18.htm" TargetMode="External"/><Relationship Id="rId36" Type="http://schemas.openxmlformats.org/officeDocument/2006/relationships/hyperlink" Target="https://www.sec.gov/Archives/edgar/data/1803901/000095017022002102/talk-ex10_18.htm" TargetMode="External"/><Relationship Id="rId37" Type="http://schemas.openxmlformats.org/officeDocument/2006/relationships/hyperlink" Target="https://www.sec.gov/Archives/edgar/data/1803901/000095017022002102/talk-ex10_19.htm" TargetMode="External"/><Relationship Id="rId38" Type="http://schemas.openxmlformats.org/officeDocument/2006/relationships/hyperlink" Target="https://www.sec.gov/Archives/edgar/data/1803901/000095017022002102/talk-ex10_19.htm" TargetMode="External"/><Relationship Id="rId39" Type="http://schemas.openxmlformats.org/officeDocument/2006/relationships/hyperlink" Target="https://www.sec.gov/Archives/edgar/data/1803901/000095017022002102/talk-ex10_21.htm" TargetMode="External"/><Relationship Id="rId40" Type="http://schemas.openxmlformats.org/officeDocument/2006/relationships/hyperlink" Target="https://www.sec.gov/Archives/edgar/data/1803901/000095017022002102/talk-ex10_21.htm" TargetMode="External"/><Relationship Id="rId41" Type="http://schemas.openxmlformats.org/officeDocument/2006/relationships/hyperlink" Target="https://www.sec.gov/Archives/edgar/data/1803901/000095017023007147/talk-ex10_22.htm" TargetMode="External"/><Relationship Id="rId42" Type="http://schemas.openxmlformats.org/officeDocument/2006/relationships/hyperlink" Target="https://www.sec.gov/Archives/edgar/data/1803901/000095017023007147/talk-ex10_22.htm" TargetMode="External"/><Relationship Id="rId43" Type="http://schemas.openxmlformats.org/officeDocument/2006/relationships/hyperlink" Target="https://www.sec.gov/Archives/edgar/data/1803901/000095017024030872/talk-ex10_23.htm" TargetMode="External"/><Relationship Id="rId44" Type="http://schemas.openxmlformats.org/officeDocument/2006/relationships/hyperlink" Target="https://www.sec.gov/Archives/edgar/data/1803901/000095017024030872/talk-ex10_23.htm" TargetMode="External"/><Relationship Id="rId45" Type="http://schemas.openxmlformats.org/officeDocument/2006/relationships/hyperlink" Target="https://www.sec.gov/Archives/edgar/data/1803901/000095017024030872/talk-ex97_1.htm" TargetMode="External"/><Relationship Id="rId46" Type="http://schemas.openxmlformats.org/officeDocument/2006/relationships/hyperlink" Target="https://www.sec.gov/Archives/edgar/data/1803901/000095017024030872/talk-ex97_1.htm" TargetMode="External"/><Relationship Id="rId47" Type="http://schemas.openxmlformats.org/officeDocument/2006/relationships/hyperlink" Target="https://www.sec.gov/Archives/edgar/data/1803901/000095017024094085/talk-ex10_24.htm" TargetMode="External"/><Relationship Id="rId48" Type="http://schemas.openxmlformats.org/officeDocument/2006/relationships/hyperlink" Target="https://www.sec.gov/Archives/edgar/data/1803901/000095017024094085/talk-ex10_24.htm" TargetMode="External"/><Relationship Id="rId49" Type="http://schemas.openxmlformats.org/officeDocument/2006/relationships/hyperlink" Target="https://www.sec.gov/Archives/edgar/data/1803901/000095015726000267/ex2-1.htm" TargetMode="External"/><Relationship Id="rId50" Type="http://schemas.openxmlformats.org/officeDocument/2006/relationships/hyperlink" Target="https://www.sec.gov/Archives/edgar/data/1803901/000095015726000267/ex2-1.htm" TargetMode="External"/><Relationship Id="rId51" Type="http://schemas.openxmlformats.org/officeDocument/2006/relationships/hyperlink" Target="https://www.sec.gov/Archives/edgar/data/1803901/000119312526105146/talk-ex19_1.htm" TargetMode="External"/><Relationship Id="rId52" Type="http://schemas.openxmlformats.org/officeDocument/2006/relationships/hyperlink" Target="https://www.sec.gov/Archives/edgar/data/1803901/000119312526105146/talk-ex19_1.htm" TargetMode="External"/><Relationship Id="rId53" Type="http://schemas.openxmlformats.org/officeDocument/2006/relationships/hyperlink" Target="https://www.sec.gov/Archives/edgar/data/1803901/000119312526105146/talk-ex21_1.htm" TargetMode="External"/><Relationship Id="rId54" Type="http://schemas.openxmlformats.org/officeDocument/2006/relationships/hyperlink" Target="https://www.sec.gov/Archives/edgar/data/1803901/000119312526105146/talk-ex21_1.htm" TargetMode="External"/><Relationship Id="rId55" Type="http://schemas.openxmlformats.org/officeDocument/2006/relationships/hyperlink" Target="https://www.sec.gov/Archives/edgar/data/1803901/000119312526105146/talk-ex23_1.htm" TargetMode="External"/><Relationship Id="rId56" Type="http://schemas.openxmlformats.org/officeDocument/2006/relationships/hyperlink" Target="https://www.sec.gov/Archives/edgar/data/1803901/000119312526105146/talk-ex23_1.htm" TargetMode="External"/><Relationship Id="rId57" Type="http://schemas.openxmlformats.org/officeDocument/2006/relationships/hyperlink" Target="https://www.sec.gov/Archives/edgar/data/1803901/000119312526105146/talk-ex31_1.htm" TargetMode="External"/><Relationship Id="rId58" Type="http://schemas.openxmlformats.org/officeDocument/2006/relationships/hyperlink" Target="https://www.sec.gov/Archives/edgar/data/1803901/000119312526105146/talk-ex31_1.htm" TargetMode="External"/><Relationship Id="rId59" Type="http://schemas.openxmlformats.org/officeDocument/2006/relationships/hyperlink" Target="https://www.sec.gov/Archives/edgar/data/1803901/000119312526105146/talk-ex31_2.htm" TargetMode="External"/><Relationship Id="rId60" Type="http://schemas.openxmlformats.org/officeDocument/2006/relationships/hyperlink" Target="https://www.sec.gov/Archives/edgar/data/1803901/000119312526105146/talk-ex31_2.htm" TargetMode="External"/><Relationship Id="rId61" Type="http://schemas.openxmlformats.org/officeDocument/2006/relationships/hyperlink" Target="https://www.sec.gov/Archives/edgar/data/1803901/000119312526105146/talk-ex32_1.htm" TargetMode="External"/><Relationship Id="rId62" Type="http://schemas.openxmlformats.org/officeDocument/2006/relationships/hyperlink" Target="https://www.sec.gov/Archives/edgar/data/1803901/000119312526105146/talk-ex32_1.htm" TargetMode="External"/><Relationship Id="rId63" Type="http://schemas.openxmlformats.org/officeDocument/2006/relationships/hyperlink" Target="https://www.sec.gov/Archives/edgar/data/1803901/000119312526105146/talk-ex32_2.htm" TargetMode="External"/><Relationship Id="rId64" Type="http://schemas.openxmlformats.org/officeDocument/2006/relationships/hyperlink" Target="https://www.sec.gov/Archives/edgar/data/1803901/000119312526105146/talk-ex32_2.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18503</Words>
  <Characters>99648</Characters>
  <CharactersWithSpaces>118456</CharactersWithSpaces>
  <Paragraphs>3632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