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Talkspace,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8,866,727.00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8,866,727.00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8,866,727.00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8,866,727.00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8,866,727.00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8,866,727.00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8,866,727.00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Talkspace,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622 Third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8,866,727 shares of common stock, par value $0.0001 per share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5.31% of the Shares, based on 167,076,010 Shares outstanding as of March 10, 2026, as reported in the Issuer's annual report on form 10-K filed with the Securities and Exchange Commission on March 13, 2026.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8,866,727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vote or to direct the vote of 8,866,727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 Cayman Islands exempted company that is an investment management client of BAM,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1821</Words>
  <Characters>9217</Characters>
  <CharactersWithSpaces>10948</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