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HorizontalLine"/>
        <w:bidi w:val="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UNITED STATES</w:t>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SECURITIES AND EXCHANGE COMMISSION</w:t>
      </w:r>
    </w:p>
    <w:p>
      <w:pPr>
        <w:pStyle w:val="TextBody"/>
        <w:bidi w:val="0"/>
        <w:spacing w:before="0" w:after="0"/>
        <w:jc w:val="center"/>
        <w:rPr>
          <w:color w:val="000000"/>
          <w:shd w:fill="FFFFFF" w:val="clear"/>
        </w:rPr>
      </w:pPr>
      <w:r>
        <w:rPr>
          <w:color w:val="000000"/>
          <w:shd w:fill="FFFFFF" w:val="clear"/>
        </w:rPr>
        <w:t> </w:t>
      </w:r>
      <w:r>
        <w:rPr>
          <w:rFonts w:ascii="Times New Roman" w:hAnsi="Times New Roman"/>
          <w:b/>
          <w:color w:val="000000"/>
          <w:sz w:val="20"/>
          <w:shd w:fill="FFFFFF" w:val="clear"/>
        </w:rPr>
        <w:t>WASHINGTON, D.C. 20549</w:t>
      </w:r>
    </w:p>
    <w:p>
      <w:pPr>
        <w:pStyle w:val="TextBody"/>
        <w:bidi w:val="0"/>
        <w:spacing w:before="0" w:after="0"/>
        <w:jc w:val="center"/>
        <w:rPr>
          <w:rFonts w:ascii="Times New Roman" w:hAnsi="Times New Roman"/>
          <w:b/>
          <w:sz w:val="20"/>
        </w:rPr>
      </w:pPr>
      <w:r>
        <w:rPr>
          <w:rFonts w:ascii="Times New Roman" w:hAnsi="Times New Roman"/>
          <w:b/>
          <w:sz w:val="20"/>
        </w:rPr>
      </w:r>
    </w:p>
    <w:p>
      <w:pPr>
        <w:pStyle w:val="HorizontalLine"/>
        <w:bidi w:val="0"/>
        <w:jc w:val="center"/>
        <w:rPr/>
      </w:pPr>
      <w:r>
        <w:rPr/>
      </w:r>
    </w:p>
    <w:p>
      <w:pPr>
        <w:pStyle w:val="TextBody"/>
        <w:bidi w:val="0"/>
        <w:spacing w:before="0" w:after="0"/>
        <w:jc w:val="center"/>
        <w:rPr>
          <w:rFonts w:ascii="Times New Roman" w:hAnsi="Times New Roman"/>
          <w:sz w:val="16"/>
        </w:rPr>
      </w:pPr>
      <w:r>
        <w:rPr>
          <w:rFonts w:ascii="Times New Roman" w:hAnsi="Times New Roman"/>
          <w:sz w:val="16"/>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center"/>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OF THE SECURITIES EXCHANGE ACT OF 1934</w:t>
      </w:r>
    </w:p>
    <w:p>
      <w:pPr>
        <w:pStyle w:val="TextBody"/>
        <w:bidi w:val="0"/>
        <w:spacing w:before="0" w:after="0"/>
        <w:jc w:val="center"/>
        <w:rPr>
          <w:rFonts w:ascii="Times New Roman" w:hAnsi="Times New Roman"/>
          <w:b/>
          <w:sz w:val="20"/>
        </w:rPr>
      </w:pPr>
      <w:r>
        <w:rPr>
          <w:rFonts w:ascii="Times New Roman" w:hAnsi="Times New Roman"/>
          <w:b/>
          <w:sz w:val="20"/>
        </w:rPr>
      </w:r>
    </w:p>
    <w:p>
      <w:pPr>
        <w:pStyle w:val="HorizontalLine"/>
        <w:bidi w:val="0"/>
        <w:jc w:val="center"/>
        <w:rPr/>
      </w:pPr>
      <w:r>
        <w:rPr/>
      </w:r>
    </w:p>
    <w:p>
      <w:pPr>
        <w:pStyle w:val="TextBody"/>
        <w:bidi w:val="0"/>
        <w:spacing w:before="0" w:after="0"/>
        <w:jc w:val="center"/>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Date of Report (Date of earliest event reported):  March 9, 2026</w:t>
      </w:r>
    </w:p>
    <w:p>
      <w:pPr>
        <w:pStyle w:val="TextBody"/>
        <w:bidi w:val="0"/>
        <w:spacing w:before="0" w:after="0"/>
        <w:jc w:val="center"/>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Talkspace, Inc.</w:t>
      </w:r>
    </w:p>
    <w:p>
      <w:pPr>
        <w:pStyle w:val="TextBody"/>
        <w:bidi w:val="0"/>
        <w:spacing w:before="0" w:after="0"/>
        <w:jc w:val="center"/>
        <w:rPr>
          <w:color w:val="000000"/>
          <w:shd w:fill="FFFFFF" w:val="clear"/>
        </w:rPr>
      </w:pPr>
      <w:r>
        <w:rPr>
          <w:color w:val="000000"/>
          <w:shd w:fill="FFFFFF" w:val="clear"/>
        </w:rPr>
        <w:t> </w:t>
      </w:r>
      <w:r>
        <w:rPr>
          <w:rFonts w:ascii="Times New Roman" w:hAnsi="Times New Roman"/>
          <w:b/>
          <w:color w:val="000000"/>
          <w:sz w:val="20"/>
          <w:shd w:fill="FFFFFF" w:val="clear"/>
        </w:rPr>
        <w:t>(Exact name of registrant as specified in its charter)</w:t>
      </w:r>
    </w:p>
    <w:p>
      <w:pPr>
        <w:pStyle w:val="TextBody"/>
        <w:bidi w:val="0"/>
        <w:spacing w:before="0" w:after="0"/>
        <w:jc w:val="center"/>
        <w:rPr>
          <w:rFonts w:ascii="Times New Roman" w:hAnsi="Times New Roman"/>
          <w:b/>
          <w:sz w:val="20"/>
        </w:rPr>
      </w:pPr>
      <w:r>
        <w:rPr>
          <w:rFonts w:ascii="Times New Roman" w:hAnsi="Times New Roman"/>
          <w:b/>
          <w:sz w:val="20"/>
        </w:rPr>
      </w:r>
    </w:p>
    <w:p>
      <w:pPr>
        <w:pStyle w:val="HorizontalLine"/>
        <w:bidi w:val="0"/>
        <w:jc w:val="center"/>
        <w:rPr/>
      </w:pPr>
      <w:r>
        <w:rPr/>
      </w:r>
    </w:p>
    <w:p>
      <w:pPr>
        <w:pStyle w:val="TextBody"/>
        <w:bidi w:val="0"/>
        <w:spacing w:before="0" w:after="0"/>
        <w:jc w:val="left"/>
        <w:rPr/>
      </w:pPr>
      <w:r>
        <w:rPr/>
      </w:r>
    </w:p>
    <w:tbl>
      <w:tblPr>
        <w:tblW w:w="4980" w:type="dxa"/>
        <w:jc w:val="left"/>
        <w:tblInd w:w="0" w:type="dxa"/>
        <w:tblLayout w:type="fixed"/>
        <w:tblCellMar>
          <w:top w:w="0" w:type="dxa"/>
          <w:left w:w="0" w:type="dxa"/>
          <w:bottom w:w="0" w:type="dxa"/>
          <w:right w:w="0" w:type="dxa"/>
        </w:tblCellMar>
      </w:tblPr>
      <w:tblGrid>
        <w:gridCol w:w="2270"/>
        <w:gridCol w:w="1145"/>
        <w:gridCol w:w="1565"/>
      </w:tblGrid>
      <w:tr>
        <w:trPr/>
        <w:tc>
          <w:tcPr>
            <w:tcW w:w="227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Delaware</w:t>
            </w:r>
          </w:p>
          <w:p>
            <w:pPr>
              <w:pStyle w:val="TableContents"/>
              <w:bidi w:val="0"/>
              <w:spacing w:before="0" w:after="0"/>
              <w:jc w:val="center"/>
              <w:rPr>
                <w:rFonts w:ascii="Times New Roman" w:hAnsi="Times New Roman"/>
                <w:b/>
                <w:sz w:val="20"/>
              </w:rPr>
            </w:pPr>
            <w:r>
              <w:rPr>
                <w:rFonts w:ascii="Times New Roman" w:hAnsi="Times New Roman"/>
                <w:b/>
                <w:sz w:val="20"/>
              </w:rPr>
              <w:t>(State or other jurisdiction</w:t>
            </w:r>
          </w:p>
          <w:p>
            <w:pPr>
              <w:pStyle w:val="TableContents"/>
              <w:bidi w:val="0"/>
              <w:spacing w:before="0" w:after="0"/>
              <w:jc w:val="center"/>
              <w:rPr>
                <w:rFonts w:ascii="Times New Roman" w:hAnsi="Times New Roman"/>
                <w:b/>
                <w:sz w:val="20"/>
              </w:rPr>
            </w:pPr>
            <w:r>
              <w:rPr>
                <w:rFonts w:ascii="Times New Roman" w:hAnsi="Times New Roman"/>
                <w:b/>
                <w:sz w:val="20"/>
              </w:rPr>
              <w:t>of incorporation)</w:t>
            </w:r>
          </w:p>
        </w:tc>
        <w:tc>
          <w:tcPr>
            <w:tcW w:w="114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001-39314</w:t>
            </w:r>
          </w:p>
          <w:p>
            <w:pPr>
              <w:pStyle w:val="TableContents"/>
              <w:bidi w:val="0"/>
              <w:spacing w:before="0" w:after="0"/>
              <w:jc w:val="center"/>
              <w:rPr>
                <w:rFonts w:ascii="Times New Roman" w:hAnsi="Times New Roman"/>
                <w:b/>
                <w:sz w:val="20"/>
              </w:rPr>
            </w:pPr>
            <w:r>
              <w:rPr>
                <w:rFonts w:ascii="Times New Roman" w:hAnsi="Times New Roman"/>
                <w:b/>
                <w:sz w:val="20"/>
              </w:rPr>
              <w:t>(Commission</w:t>
            </w:r>
          </w:p>
          <w:p>
            <w:pPr>
              <w:pStyle w:val="TableContents"/>
              <w:bidi w:val="0"/>
              <w:spacing w:before="0" w:after="0"/>
              <w:jc w:val="center"/>
              <w:rPr>
                <w:rFonts w:ascii="Times New Roman" w:hAnsi="Times New Roman"/>
                <w:b/>
                <w:sz w:val="20"/>
              </w:rPr>
            </w:pPr>
            <w:r>
              <w:rPr>
                <w:rFonts w:ascii="Times New Roman" w:hAnsi="Times New Roman"/>
                <w:b/>
                <w:sz w:val="20"/>
              </w:rPr>
              <w:t>File Number)</w:t>
            </w:r>
          </w:p>
        </w:tc>
        <w:tc>
          <w:tcPr>
            <w:tcW w:w="156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84-4636604</w:t>
            </w:r>
          </w:p>
          <w:p>
            <w:pPr>
              <w:pStyle w:val="TableContents"/>
              <w:bidi w:val="0"/>
              <w:spacing w:before="0" w:after="0"/>
              <w:jc w:val="center"/>
              <w:rPr>
                <w:rFonts w:ascii="Times New Roman" w:hAnsi="Times New Roman"/>
                <w:b/>
                <w:sz w:val="20"/>
              </w:rPr>
            </w:pPr>
            <w:r>
              <w:rPr>
                <w:rFonts w:ascii="Times New Roman" w:hAnsi="Times New Roman"/>
                <w:b/>
                <w:sz w:val="20"/>
              </w:rPr>
              <w:t>(IRS Employer</w:t>
            </w:r>
          </w:p>
          <w:p>
            <w:pPr>
              <w:pStyle w:val="TableContents"/>
              <w:bidi w:val="0"/>
              <w:spacing w:before="0" w:after="0"/>
              <w:jc w:val="center"/>
              <w:rPr>
                <w:rFonts w:ascii="Times New Roman" w:hAnsi="Times New Roman"/>
                <w:b/>
                <w:sz w:val="20"/>
              </w:rPr>
            </w:pPr>
            <w:r>
              <w:rPr>
                <w:rFonts w:ascii="Times New Roman" w:hAnsi="Times New Roman"/>
                <w:b/>
                <w:sz w:val="20"/>
              </w:rPr>
              <w:t>Identification No.)</w:t>
            </w:r>
          </w:p>
        </w:tc>
      </w:tr>
    </w:tbl>
    <w:p>
      <w:pPr>
        <w:pStyle w:val="TextBody"/>
        <w:bidi w:val="0"/>
        <w:spacing w:before="0" w:after="0"/>
        <w:jc w:val="center"/>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622 Third Avenue</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New York, New York 10017</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(Address of principal executive offices) (Zip Code)</w:t>
      </w:r>
    </w:p>
    <w:p>
      <w:pPr>
        <w:pStyle w:val="TextBody"/>
        <w:bidi w:val="0"/>
        <w:spacing w:before="0" w:after="0"/>
        <w:jc w:val="center"/>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(212) 284-7206</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(Registrant’s telephone number, including area code)</w:t>
      </w:r>
    </w:p>
    <w:p>
      <w:pPr>
        <w:pStyle w:val="TextBody"/>
        <w:bidi w:val="0"/>
        <w:spacing w:before="0" w:after="0"/>
        <w:jc w:val="center"/>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Not Applicable</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(Former name or former address, if changed since last report)</w:t>
      </w:r>
    </w:p>
    <w:p>
      <w:pPr>
        <w:pStyle w:val="TextBody"/>
        <w:bidi w:val="0"/>
        <w:spacing w:before="0" w:after="0"/>
        <w:jc w:val="center"/>
        <w:rPr>
          <w:rFonts w:ascii="Times New Roman" w:hAnsi="Times New Roman"/>
          <w:sz w:val="16"/>
        </w:rPr>
      </w:pPr>
      <w:r>
        <w:rPr>
          <w:rFonts w:ascii="Times New Roman" w:hAnsi="Times New Roman"/>
          <w:sz w:val="16"/>
        </w:rPr>
      </w:r>
    </w:p>
    <w:p>
      <w:pPr>
        <w:pStyle w:val="HorizontalLine"/>
        <w:bidi w:val="0"/>
        <w:jc w:val="center"/>
        <w:rPr/>
      </w:pPr>
      <w:r>
        <w:rPr/>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9310" w:type="dxa"/>
            <w:gridSpan w:val="2"/>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0"/>
              <w:jc w:val="center"/>
              <w:rPr>
                <w:color w:val="000000"/>
              </w:rPr>
            </w:pPr>
            <w:r>
              <w:rPr>
                <w:color w:val="000000"/>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r>
        <w:trPr/>
        <w:tc>
          <w:tcPr>
            <w:tcW w:w="245" w:type="dxa"/>
            <w:tcBorders/>
            <w:vAlign w:val="center"/>
          </w:tcPr>
          <w:p>
            <w:pPr>
              <w:pStyle w:val="TableContents"/>
              <w:bidi w:val="0"/>
              <w:spacing w:before="0" w:after="0"/>
              <w:jc w:val="center"/>
              <w:rPr>
                <w:color w:val="000000"/>
              </w:rPr>
            </w:pPr>
            <w:r>
              <w:rPr>
                <w:color w:val="000000"/>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r>
        <w:trPr/>
        <w:tc>
          <w:tcPr>
            <w:tcW w:w="245" w:type="dxa"/>
            <w:tcBorders/>
            <w:vAlign w:val="center"/>
          </w:tcPr>
          <w:p>
            <w:pPr>
              <w:pStyle w:val="TableContents"/>
              <w:bidi w:val="0"/>
              <w:spacing w:before="0" w:after="0"/>
              <w:jc w:val="center"/>
              <w:rPr>
                <w:color w:val="000000"/>
              </w:rPr>
            </w:pPr>
            <w:r>
              <w:rPr>
                <w:color w:val="000000"/>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r>
        <w:trPr/>
        <w:tc>
          <w:tcPr>
            <w:tcW w:w="245" w:type="dxa"/>
            <w:tcBorders/>
            <w:vAlign w:val="center"/>
          </w:tcPr>
          <w:p>
            <w:pPr>
              <w:pStyle w:val="TableContents"/>
              <w:bidi w:val="0"/>
              <w:spacing w:before="0" w:after="0"/>
              <w:jc w:val="center"/>
              <w:rPr>
                <w:color w:val="000000"/>
              </w:rPr>
            </w:pPr>
            <w:r>
              <w:rPr>
                <w:color w:val="000000"/>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jc w:val="left"/>
        <w:rPr/>
      </w:pPr>
      <w:r>
        <w:rPr/>
      </w:r>
    </w:p>
    <w:tbl>
      <w:tblPr>
        <w:tblW w:w="8250" w:type="dxa"/>
        <w:jc w:val="left"/>
        <w:tblInd w:w="0" w:type="dxa"/>
        <w:tblLayout w:type="fixed"/>
        <w:tblCellMar>
          <w:top w:w="0" w:type="dxa"/>
          <w:left w:w="0" w:type="dxa"/>
          <w:bottom w:w="28" w:type="dxa"/>
          <w:right w:w="0" w:type="dxa"/>
        </w:tblCellMar>
      </w:tblPr>
      <w:tblGrid>
        <w:gridCol w:w="3590"/>
        <w:gridCol w:w="60"/>
        <w:gridCol w:w="1340"/>
        <w:gridCol w:w="60"/>
        <w:gridCol w:w="3200"/>
      </w:tblGrid>
      <w:tr>
        <w:trPr/>
        <w:tc>
          <w:tcPr>
            <w:tcW w:w="3590" w:type="dxa"/>
            <w:tcBorders>
              <w:bottom w:val="single" w:sz="12" w:space="0" w:color="000000"/>
            </w:tcBorders>
            <w:vAlign w:val="center"/>
          </w:tcPr>
          <w:p>
            <w:pPr>
              <w:pStyle w:val="TableContents"/>
              <w:bidi w:val="0"/>
              <w:spacing w:before="0" w:after="0"/>
              <w:jc w:val="center"/>
              <w:rPr>
                <w:rFonts w:ascii="Times New Roman" w:hAnsi="Times New Roman"/>
                <w:b/>
                <w:color w:val="000000"/>
                <w:sz w:val="16"/>
              </w:rPr>
            </w:pPr>
            <w:r>
              <w:rPr>
                <w:rFonts w:ascii="Times New Roman" w:hAnsi="Times New Roman"/>
                <w:b/>
                <w:color w:val="000000"/>
                <w:sz w:val="16"/>
              </w:rPr>
              <w:t>Title of each class</w:t>
            </w:r>
          </w:p>
        </w:tc>
        <w:tc>
          <w:tcPr>
            <w:tcW w:w="60" w:type="dxa"/>
            <w:tcBorders/>
            <w:tcMar>
              <w:bottom w:w="0" w:type="dxa"/>
            </w:tcMar>
            <w:vAlign w:val="center"/>
          </w:tcPr>
          <w:p>
            <w:pPr>
              <w:pStyle w:val="TableContents"/>
              <w:bidi w:val="0"/>
              <w:spacing w:before="0" w:after="0"/>
              <w:jc w:val="left"/>
              <w:rPr>
                <w:color w:val="000000"/>
              </w:rPr>
            </w:pPr>
            <w:r>
              <w:rPr>
                <w:color w:val="000000"/>
              </w:rPr>
              <w:t> </w:t>
            </w:r>
          </w:p>
        </w:tc>
        <w:tc>
          <w:tcPr>
            <w:tcW w:w="1340" w:type="dxa"/>
            <w:tcBorders>
              <w:bottom w:val="single" w:sz="12" w:space="0" w:color="000000"/>
            </w:tcBorders>
            <w:vAlign w:val="center"/>
          </w:tcPr>
          <w:p>
            <w:pPr>
              <w:pStyle w:val="TableContents"/>
              <w:bidi w:val="0"/>
              <w:spacing w:before="0" w:after="0"/>
              <w:jc w:val="center"/>
              <w:rPr>
                <w:rFonts w:ascii="Times New Roman" w:hAnsi="Times New Roman"/>
                <w:b/>
                <w:color w:val="000000"/>
                <w:sz w:val="16"/>
              </w:rPr>
            </w:pPr>
            <w:r>
              <w:rPr>
                <w:rFonts w:ascii="Times New Roman" w:hAnsi="Times New Roman"/>
                <w:b/>
                <w:color w:val="000000"/>
                <w:sz w:val="16"/>
              </w:rPr>
              <w:t>Trading symbol(s)</w:t>
            </w:r>
          </w:p>
        </w:tc>
        <w:tc>
          <w:tcPr>
            <w:tcW w:w="60" w:type="dxa"/>
            <w:tcBorders/>
            <w:tcMar>
              <w:bottom w:w="0" w:type="dxa"/>
            </w:tcMar>
            <w:vAlign w:val="center"/>
          </w:tcPr>
          <w:p>
            <w:pPr>
              <w:pStyle w:val="TableContents"/>
              <w:bidi w:val="0"/>
              <w:spacing w:before="0" w:after="0"/>
              <w:jc w:val="left"/>
              <w:rPr>
                <w:color w:val="000000"/>
              </w:rPr>
            </w:pPr>
            <w:r>
              <w:rPr>
                <w:color w:val="000000"/>
              </w:rPr>
              <w:t> </w:t>
            </w:r>
          </w:p>
        </w:tc>
        <w:tc>
          <w:tcPr>
            <w:tcW w:w="3200" w:type="dxa"/>
            <w:tcBorders>
              <w:bottom w:val="single" w:sz="12" w:space="0" w:color="000000"/>
            </w:tcBorders>
            <w:vAlign w:val="center"/>
          </w:tcPr>
          <w:p>
            <w:pPr>
              <w:pStyle w:val="TableContents"/>
              <w:bidi w:val="0"/>
              <w:spacing w:before="0" w:after="0"/>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590"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Common stock, $0.0001 par value per share</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Warrants to purchase common stock</w:t>
            </w:r>
          </w:p>
        </w:tc>
        <w:tc>
          <w:tcPr>
            <w:tcW w:w="60" w:type="dxa"/>
            <w:tcBorders/>
            <w:tcMar>
              <w:bottom w:w="0" w:type="dxa"/>
            </w:tcMar>
            <w:vAlign w:val="center"/>
          </w:tcPr>
          <w:p>
            <w:pPr>
              <w:pStyle w:val="TableContents"/>
              <w:bidi w:val="0"/>
              <w:spacing w:before="0" w:after="0"/>
              <w:jc w:val="left"/>
              <w:rPr>
                <w:color w:val="000000"/>
              </w:rPr>
            </w:pPr>
            <w:r>
              <w:rPr>
                <w:color w:val="000000"/>
              </w:rPr>
              <w:t> </w:t>
            </w:r>
          </w:p>
        </w:tc>
        <w:tc>
          <w:tcPr>
            <w:tcW w:w="1340"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TALK</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TALKW</w:t>
            </w:r>
          </w:p>
        </w:tc>
        <w:tc>
          <w:tcPr>
            <w:tcW w:w="60" w:type="dxa"/>
            <w:tcBorders/>
            <w:tcMar>
              <w:bottom w:w="0" w:type="dxa"/>
            </w:tcMar>
            <w:vAlign w:val="center"/>
          </w:tcPr>
          <w:p>
            <w:pPr>
              <w:pStyle w:val="TableContents"/>
              <w:bidi w:val="0"/>
              <w:spacing w:before="0" w:after="0"/>
              <w:jc w:val="left"/>
              <w:rPr>
                <w:color w:val="000000"/>
              </w:rPr>
            </w:pPr>
            <w:r>
              <w:rPr>
                <w:color w:val="000000"/>
              </w:rPr>
              <w:t> </w:t>
            </w:r>
          </w:p>
        </w:tc>
        <w:tc>
          <w:tcPr>
            <w:tcW w:w="3200"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Nasdaq Global Select Market</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HorizontalLine"/>
        <w:bidi w:val="0"/>
        <w:jc w:val="left"/>
        <w:rPr/>
      </w:pPr>
      <w:r>
        <w:rPr/>
      </w:r>
    </w:p>
    <w:p>
      <w:pPr>
        <w:pStyle w:val="TextBody"/>
        <w:bidi w:val="0"/>
        <w:spacing w:before="0" w:after="0"/>
        <w:jc w:val="left"/>
        <w:rPr/>
      </w:pPr>
      <w:r>
        <w:rPr/>
      </w:r>
    </w:p>
    <w:p>
      <w:pPr>
        <w:pStyle w:val="HorizontalLine"/>
        <w:bidi w:val="0"/>
        <w:spacing w:before="200" w:after="200"/>
        <w:jc w:val="left"/>
        <w:rPr/>
      </w:pPr>
      <w:r>
        <w:rPr/>
      </w:r>
    </w:p>
    <w:p>
      <w:pPr>
        <w:pStyle w:val="TextBody"/>
        <w:bidi w:val="0"/>
        <w:spacing w:before="0" w:after="0"/>
        <w:jc w:val="left"/>
        <w:rPr/>
      </w:pPr>
      <w:r>
        <w:rPr/>
      </w:r>
    </w:p>
    <w:p>
      <w:pPr>
        <w:pStyle w:val="TextBody"/>
        <w:bidi w:val="0"/>
        <w:spacing w:before="0" w:after="0"/>
        <w:jc w:val="left"/>
        <w:rPr>
          <w:rFonts w:ascii="Times New Roman" w:hAnsi="Times New Roman"/>
          <w:b/>
          <w:color w:val="212529"/>
          <w:sz w:val="20"/>
          <w:shd w:fill="FFFFFF" w:val="clear"/>
        </w:rPr>
      </w:pPr>
      <w:r>
        <w:rPr>
          <w:rFonts w:ascii="Times New Roman" w:hAnsi="Times New Roman"/>
          <w:b/>
          <w:color w:val="212529"/>
          <w:sz w:val="20"/>
          <w:shd w:fill="FFFFFF" w:val="clear"/>
        </w:rPr>
        <w:t>Item 1.01. Entry into a Material Definitive Agreement</w:t>
      </w:r>
    </w:p>
    <w:p>
      <w:pPr>
        <w:pStyle w:val="TextBody"/>
        <w:bidi w:val="0"/>
        <w:spacing w:before="0" w:after="0"/>
        <w:jc w:val="left"/>
        <w:rPr/>
      </w:pPr>
      <w:r>
        <w:rPr/>
      </w:r>
    </w:p>
    <w:p>
      <w:pPr>
        <w:pStyle w:val="TextBody"/>
        <w:bidi w:val="0"/>
        <w:spacing w:before="0" w:after="0"/>
        <w:jc w:val="left"/>
        <w:rPr>
          <w:rFonts w:ascii="Times New Roman" w:hAnsi="Times New Roman"/>
          <w:b/>
          <w:color w:val="212529"/>
          <w:sz w:val="20"/>
          <w:shd w:fill="FFFFFF" w:val="clear"/>
        </w:rPr>
      </w:pPr>
      <w:r>
        <w:rPr>
          <w:rFonts w:ascii="Times New Roman" w:hAnsi="Times New Roman"/>
          <w:b/>
          <w:color w:val="212529"/>
          <w:sz w:val="20"/>
          <w:shd w:fill="FFFFFF" w:val="clear"/>
        </w:rPr>
        <w:t>Agreement and Plan of Merger</w:t>
      </w:r>
    </w:p>
    <w:p>
      <w:pPr>
        <w:pStyle w:val="TextBody"/>
        <w:bidi w:val="0"/>
        <w:spacing w:before="0" w:after="0"/>
        <w:jc w:val="left"/>
        <w:rPr/>
      </w:pPr>
      <w:r>
        <w:rPr/>
      </w:r>
    </w:p>
    <w:p>
      <w:pPr>
        <w:pStyle w:val="TextBody"/>
        <w:bidi w:val="0"/>
        <w:spacing w:before="0" w:after="0"/>
        <w:jc w:val="left"/>
        <w:rPr>
          <w:rFonts w:ascii="Times New Roman" w:hAnsi="Times New Roman"/>
          <w:color w:val="212529"/>
          <w:sz w:val="20"/>
          <w:shd w:fill="FFFFFF" w:val="clear"/>
        </w:rPr>
      </w:pPr>
      <w:r>
        <w:rPr>
          <w:rFonts w:ascii="Times New Roman" w:hAnsi="Times New Roman"/>
          <w:color w:val="212529"/>
          <w:sz w:val="20"/>
          <w:shd w:fill="FFFFFF" w:val="clear"/>
        </w:rPr>
        <w:t>On March 9, 2026, Talkspace, Inc., a Delaware corporation (the “</w:t>
      </w:r>
      <w:r>
        <w:rPr>
          <w:rFonts w:ascii="Times New Roman" w:hAnsi="Times New Roman"/>
          <w:color w:val="212529"/>
          <w:sz w:val="20"/>
          <w:u w:val="single"/>
          <w:shd w:fill="FFFFFF" w:val="clear"/>
        </w:rPr>
        <w:t>Company</w:t>
      </w:r>
      <w:r>
        <w:rPr>
          <w:rFonts w:ascii="Times New Roman" w:hAnsi="Times New Roman"/>
          <w:color w:val="212529"/>
          <w:sz w:val="20"/>
          <w:shd w:fill="FFFFFF" w:val="clear"/>
        </w:rPr>
        <w:t>”), entered into an Agreement and Plan of Merger (the “</w:t>
      </w:r>
      <w:r>
        <w:rPr>
          <w:rFonts w:ascii="Times New Roman" w:hAnsi="Times New Roman"/>
          <w:color w:val="212529"/>
          <w:sz w:val="20"/>
          <w:u w:val="single"/>
          <w:shd w:fill="FFFFFF" w:val="clear"/>
        </w:rPr>
        <w:t>Merger Agreement</w:t>
      </w:r>
      <w:r>
        <w:rPr>
          <w:rFonts w:ascii="Times New Roman" w:hAnsi="Times New Roman"/>
          <w:color w:val="212529"/>
          <w:sz w:val="20"/>
          <w:shd w:fill="FFFFFF" w:val="clear"/>
        </w:rPr>
        <w:t>”) with Universal Health Services, Inc., a Delaware corporation (“</w:t>
      </w:r>
      <w:r>
        <w:rPr>
          <w:rFonts w:ascii="Times New Roman" w:hAnsi="Times New Roman"/>
          <w:color w:val="212529"/>
          <w:sz w:val="20"/>
          <w:u w:val="single"/>
          <w:shd w:fill="FFFFFF" w:val="clear"/>
        </w:rPr>
        <w:t>Parent</w:t>
      </w:r>
      <w:r>
        <w:rPr>
          <w:rFonts w:ascii="Times New Roman" w:hAnsi="Times New Roman"/>
          <w:color w:val="212529"/>
          <w:sz w:val="20"/>
          <w:shd w:fill="FFFFFF" w:val="clear"/>
        </w:rPr>
        <w:t>”), and UHS Merger Subsidiary, Inc., a Delaware corporation and an indirect wholly owned subsidiary of Parent (“</w:t>
      </w:r>
      <w:r>
        <w:rPr>
          <w:rFonts w:ascii="Times New Roman" w:hAnsi="Times New Roman"/>
          <w:color w:val="212529"/>
          <w:sz w:val="20"/>
          <w:u w:val="single"/>
          <w:shd w:fill="FFFFFF" w:val="clear"/>
        </w:rPr>
        <w:t>Merger Sub</w:t>
      </w:r>
      <w:r>
        <w:rPr>
          <w:rFonts w:ascii="Times New Roman" w:hAnsi="Times New Roman"/>
          <w:color w:val="212529"/>
          <w:sz w:val="20"/>
          <w:shd w:fill="FFFFFF" w:val="clear"/>
        </w:rPr>
        <w:t>”). Subject to the terms and conditions of the Merger Agreement, Merger Sub will be merged with and into the Company (the “</w:t>
      </w:r>
      <w:r>
        <w:rPr>
          <w:rFonts w:ascii="Times New Roman" w:hAnsi="Times New Roman"/>
          <w:color w:val="212529"/>
          <w:sz w:val="20"/>
          <w:u w:val="single"/>
          <w:shd w:fill="FFFFFF" w:val="clear"/>
        </w:rPr>
        <w:t>Merger</w:t>
      </w:r>
      <w:r>
        <w:rPr>
          <w:rFonts w:ascii="Times New Roman" w:hAnsi="Times New Roman"/>
          <w:color w:val="212529"/>
          <w:sz w:val="20"/>
          <w:shd w:fill="FFFFFF" w:val="clear"/>
        </w:rPr>
        <w:t>”), with the Company surviving the Merger as an indirect wholly owned subsidiary of Parent. Capitalized terms used herein but not otherwise defined have the meaning set forth in the Merger Agreement.</w:t>
      </w:r>
    </w:p>
    <w:p>
      <w:pPr>
        <w:pStyle w:val="TextBody"/>
        <w:bidi w:val="0"/>
        <w:spacing w:before="0" w:after="0"/>
        <w:jc w:val="left"/>
        <w:rPr/>
      </w:pPr>
      <w:r>
        <w:rPr/>
      </w:r>
    </w:p>
    <w:p>
      <w:pPr>
        <w:pStyle w:val="TextBody"/>
        <w:bidi w:val="0"/>
        <w:spacing w:before="0" w:after="0"/>
        <w:jc w:val="left"/>
        <w:rPr>
          <w:rFonts w:ascii="Times New Roman" w:hAnsi="Times New Roman"/>
          <w:color w:val="212529"/>
          <w:sz w:val="20"/>
          <w:shd w:fill="FFFFFF" w:val="clear"/>
        </w:rPr>
      </w:pPr>
      <w:r>
        <w:rPr>
          <w:rFonts w:ascii="Times New Roman" w:hAnsi="Times New Roman"/>
          <w:color w:val="212529"/>
          <w:sz w:val="20"/>
          <w:shd w:fill="FFFFFF" w:val="clear"/>
        </w:rPr>
        <w:t>Pursuant to the Merger Agreement, which has been unanimously approved by the board of directors of the Company (the “</w:t>
      </w:r>
      <w:r>
        <w:rPr>
          <w:rFonts w:ascii="Times New Roman" w:hAnsi="Times New Roman"/>
          <w:color w:val="212529"/>
          <w:sz w:val="20"/>
          <w:u w:val="single"/>
          <w:shd w:fill="FFFFFF" w:val="clear"/>
        </w:rPr>
        <w:t>Board</w:t>
      </w:r>
      <w:r>
        <w:rPr>
          <w:rFonts w:ascii="Times New Roman" w:hAnsi="Times New Roman"/>
          <w:color w:val="212529"/>
          <w:sz w:val="20"/>
          <w:shd w:fill="FFFFFF" w:val="clear"/>
        </w:rPr>
        <w:t>”), at the effective time of the Merger (the “</w:t>
      </w:r>
      <w:r>
        <w:rPr>
          <w:rFonts w:ascii="Times New Roman" w:hAnsi="Times New Roman"/>
          <w:color w:val="212529"/>
          <w:sz w:val="20"/>
          <w:u w:val="single"/>
          <w:shd w:fill="FFFFFF" w:val="clear"/>
        </w:rPr>
        <w:t>Effective Time</w:t>
      </w:r>
      <w:r>
        <w:rPr>
          <w:rFonts w:ascii="Times New Roman" w:hAnsi="Times New Roman"/>
          <w:color w:val="212529"/>
          <w:sz w:val="20"/>
          <w:shd w:fill="FFFFFF" w:val="clear"/>
        </w:rPr>
        <w:t>”), each outstanding share of Company common stock, par value $0.0001 per share (“</w:t>
      </w:r>
      <w:r>
        <w:rPr>
          <w:rFonts w:ascii="Times New Roman" w:hAnsi="Times New Roman"/>
          <w:color w:val="212529"/>
          <w:sz w:val="20"/>
          <w:u w:val="single"/>
          <w:shd w:fill="FFFFFF" w:val="clear"/>
        </w:rPr>
        <w:t>Company Common Stock</w:t>
      </w:r>
      <w:r>
        <w:rPr>
          <w:rFonts w:ascii="Times New Roman" w:hAnsi="Times New Roman"/>
          <w:color w:val="212529"/>
          <w:sz w:val="20"/>
          <w:shd w:fill="FFFFFF" w:val="clear"/>
        </w:rPr>
        <w:t>”) (other than shares of Company Common Stock to be canceled pursuant to the Merger Agreement and shares with respect to which appraisal rights are properly exercised and not withdrawn under Delaware law), will automatically be converted into the right to receive $5.25 in cash, without interest (the “</w:t>
      </w:r>
      <w:r>
        <w:rPr>
          <w:rFonts w:ascii="Times New Roman" w:hAnsi="Times New Roman"/>
          <w:color w:val="212529"/>
          <w:sz w:val="20"/>
          <w:u w:val="single"/>
          <w:shd w:fill="FFFFFF" w:val="clear"/>
        </w:rPr>
        <w:t>Merger Consideration</w:t>
      </w:r>
      <w:r>
        <w:rPr>
          <w:rFonts w:ascii="Times New Roman" w:hAnsi="Times New Roman"/>
          <w:color w:val="212529"/>
          <w:sz w:val="20"/>
          <w:shd w:fill="FFFFFF" w:val="clear"/>
        </w:rPr>
        <w:t>”).</w:t>
      </w:r>
    </w:p>
    <w:p>
      <w:pPr>
        <w:pStyle w:val="TextBody"/>
        <w:bidi w:val="0"/>
        <w:spacing w:before="0" w:after="0"/>
        <w:jc w:val="left"/>
        <w:rPr/>
      </w:pPr>
      <w:r>
        <w:rPr/>
      </w:r>
    </w:p>
    <w:p>
      <w:pPr>
        <w:pStyle w:val="TextBody"/>
        <w:bidi w:val="0"/>
        <w:spacing w:before="0" w:after="0"/>
        <w:jc w:val="left"/>
        <w:rPr>
          <w:rFonts w:ascii="Times New Roman" w:hAnsi="Times New Roman"/>
          <w:color w:val="212529"/>
          <w:sz w:val="20"/>
          <w:shd w:fill="FFFFFF" w:val="clear"/>
        </w:rPr>
      </w:pPr>
      <w:r>
        <w:rPr>
          <w:rFonts w:ascii="Times New Roman" w:hAnsi="Times New Roman"/>
          <w:color w:val="212529"/>
          <w:sz w:val="20"/>
          <w:shd w:fill="FFFFFF" w:val="clear"/>
        </w:rPr>
        <w:t>As soon as reasonably practicable following the Effective Time, the Company’s securities will be delisted from the NASDAQ Global Select Market and deregistered under the Securities Exchange Act of 1934, as amended.</w:t>
      </w:r>
    </w:p>
    <w:p>
      <w:pPr>
        <w:pStyle w:val="TextBody"/>
        <w:bidi w:val="0"/>
        <w:spacing w:before="0" w:after="0"/>
        <w:jc w:val="left"/>
        <w:rPr/>
      </w:pPr>
      <w:r>
        <w:rPr/>
      </w:r>
    </w:p>
    <w:p>
      <w:pPr>
        <w:pStyle w:val="TextBody"/>
        <w:bidi w:val="0"/>
        <w:spacing w:before="0" w:after="0"/>
        <w:jc w:val="left"/>
        <w:rPr>
          <w:rFonts w:ascii="Times New Roman" w:hAnsi="Times New Roman"/>
          <w:color w:val="212529"/>
          <w:sz w:val="20"/>
          <w:shd w:fill="FFFFFF" w:val="clear"/>
        </w:rPr>
      </w:pPr>
      <w:r>
        <w:rPr>
          <w:rFonts w:ascii="Times New Roman" w:hAnsi="Times New Roman"/>
          <w:color w:val="212529"/>
          <w:sz w:val="20"/>
          <w:shd w:fill="FFFFFF" w:val="clear"/>
        </w:rPr>
        <w:t>As of the Effective Time, each stock option granted under the Company’s equity incentive plans (a “</w:t>
      </w:r>
      <w:r>
        <w:rPr>
          <w:rFonts w:ascii="Times New Roman" w:hAnsi="Times New Roman"/>
          <w:color w:val="212529"/>
          <w:sz w:val="20"/>
          <w:u w:val="single"/>
          <w:shd w:fill="FFFFFF" w:val="clear"/>
        </w:rPr>
        <w:t>Company Stock Option</w:t>
      </w:r>
      <w:r>
        <w:rPr>
          <w:rFonts w:ascii="Times New Roman" w:hAnsi="Times New Roman"/>
          <w:color w:val="212529"/>
          <w:sz w:val="20"/>
          <w:shd w:fill="FFFFFF" w:val="clear"/>
        </w:rPr>
        <w:t>”) that is vested as of the Effective Time (each, a “</w:t>
      </w:r>
      <w:r>
        <w:rPr>
          <w:rFonts w:ascii="Times New Roman" w:hAnsi="Times New Roman"/>
          <w:color w:val="212529"/>
          <w:sz w:val="20"/>
          <w:u w:val="single"/>
          <w:shd w:fill="FFFFFF" w:val="clear"/>
        </w:rPr>
        <w:t>Vested Company Stock Option</w:t>
      </w:r>
      <w:r>
        <w:rPr>
          <w:rFonts w:ascii="Times New Roman" w:hAnsi="Times New Roman"/>
          <w:color w:val="212529"/>
          <w:sz w:val="20"/>
          <w:shd w:fill="FFFFFF" w:val="clear"/>
        </w:rPr>
        <w:t>”) will be cancelled, with the holder becoming entitled to receive, with respect to each share underlying such Company Stock Option, an amount in cash equal to the excess, if any, of (i) the Merger Consideration over (ii) the per share exercise price of such Vested Company Stock Option. Each restricted stock unit granted under the Company’s equity incentive plans (“</w:t>
      </w:r>
      <w:r>
        <w:rPr>
          <w:rFonts w:ascii="Times New Roman" w:hAnsi="Times New Roman"/>
          <w:color w:val="212529"/>
          <w:sz w:val="20"/>
          <w:u w:val="single"/>
          <w:shd w:fill="FFFFFF" w:val="clear"/>
        </w:rPr>
        <w:t>Company RSU</w:t>
      </w:r>
      <w:r>
        <w:rPr>
          <w:rFonts w:ascii="Times New Roman" w:hAnsi="Times New Roman"/>
          <w:color w:val="212529"/>
          <w:sz w:val="20"/>
          <w:shd w:fill="FFFFFF" w:val="clear"/>
        </w:rPr>
        <w:t>”) that is vested, but not yet settled, as of the Effective Time will be cancelled, with the holder thereof becoming entitled to receive, with respect to each share subject to each Company RSU, an amount equal to the Merger Consideration.</w:t>
      </w:r>
    </w:p>
    <w:p>
      <w:pPr>
        <w:pStyle w:val="TextBody"/>
        <w:bidi w:val="0"/>
        <w:spacing w:before="0" w:after="0"/>
        <w:jc w:val="left"/>
        <w:rPr/>
      </w:pPr>
      <w:r>
        <w:rPr/>
      </w:r>
    </w:p>
    <w:p>
      <w:pPr>
        <w:pStyle w:val="TextBody"/>
        <w:bidi w:val="0"/>
        <w:spacing w:before="0" w:after="0"/>
        <w:jc w:val="left"/>
        <w:rPr>
          <w:rFonts w:ascii="Times New Roman" w:hAnsi="Times New Roman"/>
          <w:color w:val="212529"/>
          <w:sz w:val="20"/>
          <w:shd w:fill="FFFFFF" w:val="clear"/>
        </w:rPr>
      </w:pPr>
      <w:r>
        <w:rPr>
          <w:rFonts w:ascii="Times New Roman" w:hAnsi="Times New Roman"/>
          <w:color w:val="212529"/>
          <w:sz w:val="20"/>
          <w:shd w:fill="FFFFFF" w:val="clear"/>
        </w:rPr>
        <w:t>Each Company Stock Option and Company RSU that is unvested as of the Effective Time will be converted into an equivalent equity award in respect of Class B Common Stock, par value $0.01 per share, of Parent (“</w:t>
      </w:r>
      <w:r>
        <w:rPr>
          <w:rFonts w:ascii="Times New Roman" w:hAnsi="Times New Roman"/>
          <w:color w:val="212529"/>
          <w:sz w:val="20"/>
          <w:u w:val="single"/>
          <w:shd w:fill="FFFFFF" w:val="clear"/>
        </w:rPr>
        <w:t>Parent Class B Shares</w:t>
      </w:r>
      <w:r>
        <w:rPr>
          <w:rFonts w:ascii="Times New Roman" w:hAnsi="Times New Roman"/>
          <w:color w:val="212529"/>
          <w:sz w:val="20"/>
          <w:shd w:fill="FFFFFF" w:val="clear"/>
        </w:rPr>
        <w:t>”), subject to the same terms and conditions as applied prior to the Effective Time. The number of Parent Class B Shares subject to each converted equity award will be equal to the number of shares of Company Common Stock subject to such award immediately prior to the Effective Time multiplied by the Exchange Ratio (and the per share exercise price of each Parent Class B Share issuable upon conversion will be equal to the exercise price of such converted Company Stock Option divided by the Exchange Ratio). The “Exchange Ratio” is determined by dividing (i) the closing price of Company Common Stock on the last day on which Company Common Stock is traded that is immediately prior to the date of the Effective Time by (ii) the closing price of a Parent Class B Share on the last day on which Company Common Stock is traded that is immediately prior to the date of the Effective Time.</w:t>
      </w:r>
    </w:p>
    <w:p>
      <w:pPr>
        <w:pStyle w:val="TextBody"/>
        <w:bidi w:val="0"/>
        <w:spacing w:before="0" w:after="0"/>
        <w:jc w:val="left"/>
        <w:rPr/>
      </w:pPr>
      <w:r>
        <w:rPr/>
      </w:r>
    </w:p>
    <w:p>
      <w:pPr>
        <w:pStyle w:val="TextBody"/>
        <w:bidi w:val="0"/>
        <w:spacing w:before="0" w:after="0"/>
        <w:jc w:val="left"/>
        <w:rPr>
          <w:rFonts w:ascii="Times New Roman" w:hAnsi="Times New Roman"/>
          <w:color w:val="212529"/>
          <w:sz w:val="20"/>
          <w:shd w:fill="FFFFFF" w:val="clear"/>
        </w:rPr>
      </w:pPr>
      <w:r>
        <w:rPr>
          <w:rFonts w:ascii="Times New Roman" w:hAnsi="Times New Roman"/>
          <w:color w:val="212529"/>
          <w:sz w:val="20"/>
          <w:shd w:fill="FFFFFF" w:val="clear"/>
        </w:rPr>
        <w:t>The Company’s Employee Stock Purchase Plan will be terminated and all accumulated contributions of each participant thereunder will be used to purchase shares of Company Common Stock immediately following the conclusion of any ongoing purchase period or, if earlier, two business days prior to the Effective Time.</w:t>
      </w:r>
    </w:p>
    <w:p>
      <w:pPr>
        <w:pStyle w:val="TextBody"/>
        <w:bidi w:val="0"/>
        <w:spacing w:before="0" w:after="0"/>
        <w:jc w:val="left"/>
        <w:rPr/>
      </w:pPr>
      <w:r>
        <w:rPr/>
      </w:r>
    </w:p>
    <w:p>
      <w:pPr>
        <w:pStyle w:val="TextBody"/>
        <w:bidi w:val="0"/>
        <w:spacing w:before="0" w:after="0"/>
        <w:jc w:val="left"/>
        <w:rPr>
          <w:rFonts w:ascii="Times New Roman" w:hAnsi="Times New Roman"/>
          <w:color w:val="212529"/>
          <w:sz w:val="20"/>
          <w:shd w:fill="FFFFFF" w:val="clear"/>
        </w:rPr>
      </w:pPr>
      <w:r>
        <w:rPr>
          <w:rFonts w:ascii="Times New Roman" w:hAnsi="Times New Roman"/>
          <w:color w:val="212529"/>
          <w:sz w:val="20"/>
          <w:shd w:fill="FFFFFF" w:val="clear"/>
        </w:rPr>
        <w:t xml:space="preserve">Additionally, as of the Effective Time, each Company Warrant (as defined in the Warrant Agreement between Hudson Executive Investment Corp. and Continental Stock Transfer &amp; Trust Company, dated June 8, 2020) that is issued and outstanding as of immediately prior to the Effective Time will, immediately following the Effective Time, continue to be outstanding according to its terms; </w:t>
      </w:r>
      <w:r>
        <w:rPr>
          <w:rFonts w:ascii="Times New Roman" w:hAnsi="Times New Roman"/>
          <w:color w:val="212529"/>
          <w:sz w:val="20"/>
          <w:u w:val="single"/>
          <w:shd w:fill="FFFFFF" w:val="clear"/>
        </w:rPr>
        <w:t>provided</w:t>
      </w:r>
      <w:r>
        <w:rPr>
          <w:rFonts w:ascii="Times New Roman" w:hAnsi="Times New Roman"/>
          <w:color w:val="212529"/>
          <w:sz w:val="20"/>
          <w:shd w:fill="FFFFFF" w:val="clear"/>
        </w:rPr>
        <w:t xml:space="preserve"> that, following the Effective Time, each Company Warrant will, automatically and without any required action on the part of the holder thereof or any other person, cease to become exercisable for Company Common Stock and become exercisable solely in exchange for the receipt of the Merger Consideration with respect to the aggregate number of Company Common Stock for which such Company Warrant was exercisable for immediately prior to the Effective Time.  If a holder properly exercises a Company Warrant within 30 days following the Company’s public disclosure of the consummation of the Merger in a Current Report on Form 8</w:t>
        <w:noBreakHyphen/>
        <w:t>K, then the exercise price per share under such Company Warrant (the “</w:t>
      </w:r>
      <w:r>
        <w:rPr>
          <w:rFonts w:ascii="Times New Roman" w:hAnsi="Times New Roman"/>
          <w:color w:val="212529"/>
          <w:sz w:val="20"/>
          <w:u w:val="single"/>
          <w:shd w:fill="FFFFFF" w:val="clear"/>
        </w:rPr>
        <w:t>Warrant Price</w:t>
      </w:r>
      <w:r>
        <w:rPr>
          <w:rFonts w:ascii="Times New Roman" w:hAnsi="Times New Roman"/>
          <w:color w:val="212529"/>
          <w:sz w:val="20"/>
          <w:shd w:fill="FFFFFF" w:val="clear"/>
        </w:rPr>
        <w:t>”) with respect to such exercise shall be reduced by an amount (in dollars, and in no event less than zero) equal to the difference of (i) the Warrant Price in effect immediately prior to such reduction minus (ii) (A) the Merger Consideration minus (B) the Black</w:t>
        <w:noBreakHyphen/>
        <w:t>Scholes Warrant Value.</w:t>
      </w:r>
    </w:p>
    <w:p>
      <w:pPr>
        <w:pStyle w:val="TextBody"/>
        <w:bidi w:val="0"/>
        <w:spacing w:before="0" w:after="0"/>
        <w:jc w:val="left"/>
        <w:rPr/>
      </w:pPr>
      <w:r>
        <w:rPr/>
      </w:r>
    </w:p>
    <w:p>
      <w:pPr>
        <w:pStyle w:val="HorizontalLine"/>
        <w:bidi w:val="0"/>
        <w:spacing w:before="200" w:after="200"/>
        <w:jc w:val="left"/>
        <w:rPr/>
      </w:pPr>
      <w:r>
        <w:rPr/>
      </w:r>
    </w:p>
    <w:p>
      <w:pPr>
        <w:pStyle w:val="TextBody"/>
        <w:bidi w:val="0"/>
        <w:spacing w:before="0" w:after="0"/>
        <w:jc w:val="left"/>
        <w:rPr/>
      </w:pPr>
      <w:r>
        <w:rPr/>
      </w:r>
    </w:p>
    <w:p>
      <w:pPr>
        <w:pStyle w:val="TextBody"/>
        <w:bidi w:val="0"/>
        <w:spacing w:before="0" w:after="0"/>
        <w:jc w:val="left"/>
        <w:rPr>
          <w:rFonts w:ascii="Times New Roman" w:hAnsi="Times New Roman"/>
          <w:color w:val="212529"/>
          <w:sz w:val="20"/>
          <w:shd w:fill="FFFFFF" w:val="clear"/>
        </w:rPr>
      </w:pPr>
      <w:r>
        <w:rPr>
          <w:rFonts w:ascii="Times New Roman" w:hAnsi="Times New Roman"/>
          <w:color w:val="212529"/>
          <w:sz w:val="20"/>
          <w:shd w:fill="FFFFFF" w:val="clear"/>
        </w:rPr>
        <w:t>The consummation of the Merger is subject to certain closing conditions, including (i) the adoption of the Merger Agreement by the holders of a majority of the outstanding shares of Company Common Stock (the “</w:t>
      </w:r>
      <w:r>
        <w:rPr>
          <w:rFonts w:ascii="Times New Roman" w:hAnsi="Times New Roman"/>
          <w:color w:val="212529"/>
          <w:sz w:val="20"/>
          <w:u w:val="single"/>
          <w:shd w:fill="FFFFFF" w:val="clear"/>
        </w:rPr>
        <w:t>Company Stockholder Approval</w:t>
      </w:r>
      <w:r>
        <w:rPr>
          <w:rFonts w:ascii="Times New Roman" w:hAnsi="Times New Roman"/>
          <w:color w:val="212529"/>
          <w:sz w:val="20"/>
          <w:shd w:fill="FFFFFF" w:val="clear"/>
        </w:rPr>
        <w:t>”), (ii) the expiration or termination of the applicable waiting periods under the Hart-Scott-Rodino Antitrust Improvements Act of 1976, as amended, (iii) the expiration or termination of the waiting periods, or the obtaining of any required approvals or authorizations, applicable to the consummation of the Merger under certain state healthcare laws and (iv) the absence of any legal restraints that have the effect of preventing the consummation of the Merger. Additionally, Parent and Merger Sub’s obligations to consummate the Merger is subject to the absence of a continuing Material Adverse Effect (as defined in the Merger Agreement) on the Company having occurred since the date of the Merger Agreement. Moreover, each party’s obligation to consummate the Merger is subject to certain other conditions, including the accuracy of the other party’s representations and warranties in the Merger Agreement (subject to certain materiality qualifiers) and the other party’s compliance in all material respects with its obligations under the Merger Agreement. Consummation of the Merger is not subject to a financing condition.</w:t>
      </w:r>
    </w:p>
    <w:p>
      <w:pPr>
        <w:pStyle w:val="TextBody"/>
        <w:bidi w:val="0"/>
        <w:spacing w:before="0" w:after="0"/>
        <w:jc w:val="left"/>
        <w:rPr/>
      </w:pPr>
      <w:r>
        <w:rPr/>
      </w:r>
    </w:p>
    <w:p>
      <w:pPr>
        <w:pStyle w:val="TextBody"/>
        <w:bidi w:val="0"/>
        <w:spacing w:before="0" w:after="0"/>
        <w:jc w:val="left"/>
        <w:rPr>
          <w:rFonts w:ascii="Times New Roman" w:hAnsi="Times New Roman"/>
          <w:color w:val="212529"/>
          <w:sz w:val="20"/>
          <w:shd w:fill="FFFFFF" w:val="clear"/>
        </w:rPr>
      </w:pPr>
      <w:r>
        <w:rPr>
          <w:rFonts w:ascii="Times New Roman" w:hAnsi="Times New Roman"/>
          <w:color w:val="212529"/>
          <w:sz w:val="20"/>
          <w:shd w:fill="FFFFFF" w:val="clear"/>
        </w:rPr>
        <w:t>The Merger Agreement contains customary representations and warranties of each of Parent, the Company and Merger Sub relating to their respective businesses and certain matters related to the Merger Agreement. The Merger Agreement contains certain covenants, including covenants providing (i) for each of the parties to use reasonable best efforts to cause the transactions under the Merger Agreement to be consummated, (ii) for the Company to carry on its business in the ordinary course of business during the interim period between the execution of the Merger Agreement and completion of the Merger and (iii) for the Company not to engage in certain types of actions during that period without Parent’s consent.</w:t>
      </w:r>
    </w:p>
    <w:p>
      <w:pPr>
        <w:pStyle w:val="TextBody"/>
        <w:bidi w:val="0"/>
        <w:spacing w:before="0" w:after="0"/>
        <w:jc w:val="left"/>
        <w:rPr/>
      </w:pPr>
      <w:r>
        <w:rPr/>
      </w:r>
    </w:p>
    <w:p>
      <w:pPr>
        <w:pStyle w:val="TextBody"/>
        <w:bidi w:val="0"/>
        <w:spacing w:before="0" w:after="0"/>
        <w:jc w:val="left"/>
        <w:rPr>
          <w:rFonts w:ascii="Times New Roman" w:hAnsi="Times New Roman"/>
          <w:color w:val="212529"/>
          <w:sz w:val="20"/>
          <w:shd w:fill="FFFFFF" w:val="clear"/>
        </w:rPr>
      </w:pPr>
      <w:r>
        <w:rPr>
          <w:rFonts w:ascii="Times New Roman" w:hAnsi="Times New Roman"/>
          <w:color w:val="212529"/>
          <w:sz w:val="20"/>
          <w:shd w:fill="FFFFFF" w:val="clear"/>
        </w:rPr>
        <w:t>The Merger Agreement obligates the Company to abide by customary “no-shop” restrictions on its ability to solicit alternative takeover proposals from third parties and to provide non-public information to and enter into discussions or negotiations with third parties regarding alternative takeover proposals. Notwithstanding this obligation, prior to the receipt of the Company Stockholder Approval, if the Company receives an unsolicited bona fide alternative takeover proposal that the Board determines in good faith (after consultation with its financial advisors and outside legal counsel) constitutes, or would reasonably be expected to result in, a Superior Proposal (as defined in the Merger Agreement and summarized below) and that the failure to take such action would be inconsistent with the directors’ fiduciary duties under applicable law, the Company may under certain circumstances furnish information to and engage in discussions or negotiations with the third party making such alternative takeover proposal. A “Superior Proposal” generally is any bona fide written takeover proposal to acquire 50% or more of the outstanding shares of Company Common Stock or the assets of the Company and the Company’s subsidiaries and, in good faith determination of the Board (after consultation with its financial advisors and outside legal counsel), (i) would be more favorable to the Company’s stockholders than the transactions under the Merger Agreement from a financial point of view and (ii) is reasonably capable of being completed, in each case, taking into account all legal, regulatory, financial, financing and other aspects of such proposal and of the Merger Agreement.</w:t>
      </w:r>
    </w:p>
    <w:p>
      <w:pPr>
        <w:pStyle w:val="TextBody"/>
        <w:bidi w:val="0"/>
        <w:spacing w:before="0" w:after="0"/>
        <w:jc w:val="left"/>
        <w:rPr/>
      </w:pPr>
      <w:r>
        <w:rPr/>
      </w:r>
    </w:p>
    <w:p>
      <w:pPr>
        <w:pStyle w:val="TextBody"/>
        <w:bidi w:val="0"/>
        <w:spacing w:before="0" w:after="0"/>
        <w:jc w:val="left"/>
        <w:rPr>
          <w:rFonts w:ascii="Times New Roman" w:hAnsi="Times New Roman"/>
          <w:color w:val="212529"/>
          <w:sz w:val="20"/>
          <w:shd w:fill="FFFFFF" w:val="clear"/>
        </w:rPr>
      </w:pPr>
      <w:r>
        <w:rPr>
          <w:rFonts w:ascii="Times New Roman" w:hAnsi="Times New Roman"/>
          <w:color w:val="212529"/>
          <w:sz w:val="20"/>
          <w:shd w:fill="FFFFFF" w:val="clear"/>
        </w:rPr>
        <w:t>Prior to the Company entering into a written definitive agreement for, or effecting a change in recommendation of the Board in connection with, a Superior Proposal, the Company must provide Parent with advance written notice of its intention to do so and Parent will generally have at least four business days after receipt of such notice to negotiate with the Company to make such adjustments in the terms and conditions of the Merger Agreement as would permit the Board not to enter into such a definitive agreement or change its recommendation.</w:t>
      </w:r>
    </w:p>
    <w:p>
      <w:pPr>
        <w:pStyle w:val="TextBody"/>
        <w:bidi w:val="0"/>
        <w:spacing w:before="0" w:after="0"/>
        <w:jc w:val="left"/>
        <w:rPr/>
      </w:pPr>
      <w:r>
        <w:rPr/>
      </w:r>
    </w:p>
    <w:p>
      <w:pPr>
        <w:pStyle w:val="TextBody"/>
        <w:bidi w:val="0"/>
        <w:spacing w:before="0" w:after="0"/>
        <w:jc w:val="left"/>
        <w:rPr>
          <w:rFonts w:ascii="Times New Roman" w:hAnsi="Times New Roman"/>
          <w:color w:val="212529"/>
          <w:sz w:val="20"/>
          <w:shd w:fill="FFFFFF" w:val="clear"/>
        </w:rPr>
      </w:pPr>
      <w:r>
        <w:rPr>
          <w:rFonts w:ascii="Times New Roman" w:hAnsi="Times New Roman"/>
          <w:color w:val="212529"/>
          <w:sz w:val="20"/>
          <w:shd w:fill="FFFFFF" w:val="clear"/>
        </w:rPr>
        <w:t>The Merger Agreement contains certain customary termination rights for the Company and Parent, including a right to terminate the Merger Agreement if the Merger is not completed by December 9, 2026 (as such date may be extended to March 9, 2027, pursuant to the terms of the Merger Agreement). The Merger Agreement further provides that, upon termination of the Merger Agreement under certain specified circumstances, including, among others, the Company’s termination of the Merger Agreement to enter into a written definitive agreement for a Superior Proposal or following a change in recommendation of the Board, the Company will be obligated to pay Parent a termination fee of $32,394,000.</w:t>
      </w:r>
    </w:p>
    <w:p>
      <w:pPr>
        <w:pStyle w:val="TextBody"/>
        <w:bidi w:val="0"/>
        <w:spacing w:before="0" w:after="0"/>
        <w:jc w:val="left"/>
        <w:rPr/>
      </w:pPr>
      <w:r>
        <w:rPr/>
      </w:r>
    </w:p>
    <w:p>
      <w:pPr>
        <w:pStyle w:val="HorizontalLine"/>
        <w:bidi w:val="0"/>
        <w:spacing w:before="200" w:after="200"/>
        <w:jc w:val="left"/>
        <w:rPr/>
      </w:pPr>
      <w:r>
        <w:rPr/>
      </w:r>
    </w:p>
    <w:p>
      <w:pPr>
        <w:pStyle w:val="TextBody"/>
        <w:bidi w:val="0"/>
        <w:spacing w:before="0" w:after="0"/>
        <w:jc w:val="left"/>
        <w:rPr/>
      </w:pPr>
      <w:r>
        <w:rPr/>
      </w:r>
    </w:p>
    <w:p>
      <w:pPr>
        <w:pStyle w:val="TextBody"/>
        <w:bidi w:val="0"/>
        <w:spacing w:before="0" w:after="0"/>
        <w:jc w:val="left"/>
        <w:rPr>
          <w:rFonts w:ascii="Times New Roman" w:hAnsi="Times New Roman"/>
          <w:color w:val="212529"/>
          <w:sz w:val="20"/>
          <w:shd w:fill="FFFFFF" w:val="clear"/>
        </w:rPr>
      </w:pPr>
      <w:r>
        <w:rPr>
          <w:rFonts w:ascii="Times New Roman" w:hAnsi="Times New Roman"/>
          <w:color w:val="212529"/>
          <w:sz w:val="20"/>
          <w:shd w:fill="FFFFFF" w:val="clear"/>
        </w:rPr>
        <w:t>The foregoing description of the Merger Agreement does not purport to be complete and is qualified in its entirety by reference to the full text of such agreement, which is attached hereto as Exhibit 2.1 and is incorporated herein by reference.</w:t>
      </w:r>
    </w:p>
    <w:p>
      <w:pPr>
        <w:pStyle w:val="TextBody"/>
        <w:bidi w:val="0"/>
        <w:spacing w:before="0" w:after="0"/>
        <w:jc w:val="left"/>
        <w:rPr/>
      </w:pPr>
      <w:r>
        <w:rPr/>
      </w:r>
    </w:p>
    <w:p>
      <w:pPr>
        <w:pStyle w:val="TextBody"/>
        <w:bidi w:val="0"/>
        <w:spacing w:before="0" w:after="0"/>
        <w:jc w:val="left"/>
        <w:rPr>
          <w:rFonts w:ascii="Times New Roman" w:hAnsi="Times New Roman"/>
          <w:color w:val="212529"/>
          <w:sz w:val="20"/>
          <w:shd w:fill="FFFFFF" w:val="clear"/>
        </w:rPr>
      </w:pPr>
      <w:r>
        <w:rPr>
          <w:rFonts w:ascii="Times New Roman" w:hAnsi="Times New Roman"/>
          <w:color w:val="212529"/>
          <w:sz w:val="20"/>
          <w:shd w:fill="FFFFFF" w:val="clear"/>
        </w:rPr>
        <w:t>The Merger Agreement has been included to provide investors with information regarding its terms. It is not intended to provide any other factual information about the Company, Parent or any of their respective subsidiaries or affiliates. The representations and warranties of the parties contained in the Merger Agreement have been made solely for the benefit of the parties thereto. In addition, such representations and warranties (i) have been made only for purposes of the Merger Agreement, (ii) may be subject to limits or exceptions agreed upon by the contracting parties, (iii) are subject to materiality qualifications contained in the Merger Agreement which may differ from what may be viewed as material by investors, (iv) were made only as of the date of the Merger Agreement or other specific dates and (v) have been included in the Merger Agreement for the purpose of allocating risk between the contracting parties rather than establishing matters as facts. Investors should not rely on the representations, warranties and covenants or any descriptions thereof as characterizations of the actual state of facts or condition of the Company, Parent or Merger Sub or any of their respective subsidiaries or affiliates. Additionally, the representations, warranties, covenants, conditions and other terms of the Merger Agreement may be subject to subsequent waiver or modification. Moreover, information concerning the subject matter of the representations, warranties and covenants may change after the date of the Merger Agreement, which subsequent information may or may not be fully reflected in the Company’s public disclosures.</w:t>
      </w:r>
    </w:p>
    <w:p>
      <w:pPr>
        <w:pStyle w:val="TextBody"/>
        <w:bidi w:val="0"/>
        <w:spacing w:before="0" w:after="0"/>
        <w:jc w:val="left"/>
        <w:rPr/>
      </w:pPr>
      <w:r>
        <w:rPr/>
      </w:r>
    </w:p>
    <w:p>
      <w:pPr>
        <w:pStyle w:val="TextBody"/>
        <w:bidi w:val="0"/>
        <w:spacing w:before="0" w:after="0"/>
        <w:jc w:val="left"/>
        <w:rPr>
          <w:rFonts w:ascii="Times New Roman" w:hAnsi="Times New Roman"/>
          <w:b/>
          <w:color w:val="212529"/>
          <w:sz w:val="20"/>
          <w:shd w:fill="FFFFFF" w:val="clear"/>
        </w:rPr>
      </w:pPr>
      <w:r>
        <w:rPr>
          <w:rFonts w:ascii="Times New Roman" w:hAnsi="Times New Roman"/>
          <w:b/>
          <w:color w:val="212529"/>
          <w:sz w:val="20"/>
          <w:shd w:fill="FFFFFF" w:val="clear"/>
        </w:rPr>
        <w:t>Voting Agreements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212529"/>
          <w:sz w:val="20"/>
          <w:shd w:fill="FFFFFF" w:val="clear"/>
        </w:rPr>
        <w:t xml:space="preserve">On March 9, 2026, concurrently with the execution of the Merger Agreement, Parent entered into a voting agreement with (i) </w:t>
      </w:r>
      <w:r>
        <w:rPr>
          <w:rFonts w:ascii="Times New Roman" w:hAnsi="Times New Roman"/>
          <w:color w:val="000000"/>
          <w:sz w:val="20"/>
          <w:shd w:fill="FFFFFF" w:val="clear"/>
        </w:rPr>
        <w:t>Douglas L. Braunstein, the Company’s Chairman, solely in his capacity as a stockholder of the Company, and his affiliates holding securities in the Company (the “</w:t>
      </w:r>
      <w:r>
        <w:rPr>
          <w:rFonts w:ascii="Times New Roman" w:hAnsi="Times New Roman"/>
          <w:color w:val="000000"/>
          <w:sz w:val="20"/>
          <w:u w:val="single"/>
          <w:shd w:fill="FFFFFF" w:val="clear"/>
        </w:rPr>
        <w:t>Braunstein Voting Agreement</w:t>
      </w:r>
      <w:r>
        <w:rPr>
          <w:rFonts w:ascii="Times New Roman" w:hAnsi="Times New Roman"/>
          <w:color w:val="000000"/>
          <w:sz w:val="20"/>
          <w:shd w:fill="FFFFFF" w:val="clear"/>
        </w:rPr>
        <w:t>”) and (ii) Erez Shachar, an independent director of the Company, solely in his capacity as a stockholder of the Company, and his affiliate holding securities in the Company (the “</w:t>
      </w:r>
      <w:r>
        <w:rPr>
          <w:rFonts w:ascii="Times New Roman" w:hAnsi="Times New Roman"/>
          <w:color w:val="000000"/>
          <w:sz w:val="20"/>
          <w:u w:val="single"/>
          <w:shd w:fill="FFFFFF" w:val="clear"/>
        </w:rPr>
        <w:t>Shachar Voting Agreement</w:t>
      </w:r>
      <w:r>
        <w:rPr>
          <w:rFonts w:ascii="Times New Roman" w:hAnsi="Times New Roman"/>
          <w:color w:val="000000"/>
          <w:sz w:val="20"/>
          <w:shd w:fill="FFFFFF" w:val="clear"/>
        </w:rPr>
        <w:t>” and, collectively with the Braunstein Voting Agreement, the “</w:t>
      </w:r>
      <w:r>
        <w:rPr>
          <w:rFonts w:ascii="Times New Roman" w:hAnsi="Times New Roman"/>
          <w:color w:val="000000"/>
          <w:sz w:val="20"/>
          <w:u w:val="single"/>
          <w:shd w:fill="FFFFFF" w:val="clear"/>
        </w:rPr>
        <w:t>Voting Agreements</w:t>
      </w:r>
      <w:r>
        <w:rPr>
          <w:rFonts w:ascii="Times New Roman" w:hAnsi="Times New Roman"/>
          <w:color w:val="000000"/>
          <w:sz w:val="20"/>
          <w:shd w:fill="FFFFFF" w:val="clear"/>
        </w:rPr>
        <w:t>”) pursuant to which, among other things, Mr. Braunstein, Mr. Shachar and their respective affiliates holding securities in the Company (collectively, the “</w:t>
      </w:r>
      <w:r>
        <w:rPr>
          <w:rFonts w:ascii="Times New Roman" w:hAnsi="Times New Roman"/>
          <w:color w:val="000000"/>
          <w:sz w:val="20"/>
          <w:u w:val="single"/>
          <w:shd w:fill="FFFFFF" w:val="clear"/>
        </w:rPr>
        <w:t>Holders</w:t>
      </w:r>
      <w:r>
        <w:rPr>
          <w:rFonts w:ascii="Times New Roman" w:hAnsi="Times New Roman"/>
          <w:color w:val="000000"/>
          <w:sz w:val="20"/>
          <w:shd w:fill="FFFFFF" w:val="clear"/>
        </w:rPr>
        <w:t xml:space="preserve">”) agreed, among other things, to vote all of their shares of Company Common Stock beneficially owned (A) in favor of adopting the Merger Agreement and any other actions contemplated by the Merger Agreement in respect of which the approval of the Company’s stockholders is requested, (B) against any alternative </w:t>
      </w:r>
      <w:r>
        <w:rPr>
          <w:rFonts w:ascii="Times New Roman" w:hAnsi="Times New Roman"/>
          <w:color w:val="212529"/>
          <w:sz w:val="20"/>
          <w:shd w:fill="FFFFFF" w:val="clear"/>
        </w:rPr>
        <w:t>takeover proposal</w:t>
      </w:r>
      <w:r>
        <w:rPr>
          <w:rFonts w:ascii="Times New Roman" w:hAnsi="Times New Roman"/>
          <w:color w:val="000000"/>
          <w:sz w:val="20"/>
          <w:shd w:fill="FFFFFF" w:val="clear"/>
        </w:rPr>
        <w:t xml:space="preserve"> from a third party and (C) against any other action that would reasonably likely be intended, or would reasonably be expected, to materially impede, interfere with, delay, postpone, affect in an adverse manner or prevent the consummation of the Merger or the other transactions contemplated by the Merger Agreement. As of the date of execution, Mr. Braunstein, collectively with his affiliates holding securities in the Company under the Braunstein Voting Agreement, owns approximately 9% of the Company Common Stock. As of the date of execution, Mr. Shachar, collectively with his affiliate holding securities in the Company under the Shachar Voting Agreement, owns approximately 5% of the Company Common Stock.</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Each Voting Agreement will terminate upon the earliest of (i) the valid termination of the Merger Agreement in accordance with its terms, (ii) the Effective Time, (iii) the entry, without the prior written consent of the applicable Holders, into any material modification or amendment to the Merger Agreement that reduces the amount, changes the form or otherwise adversely affects the consideration payable to such Holders pursuant to the Merger Agreement as in effect on the date of the relevant Voting Agreement and (iv) with respect to any Holder, the mutual written agreement of such Holder and Parent.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foregoing description of the Voting Agreements and the transactions contemplated thereby is not complete and is qualified in its entirety by reference to the form of the Braunstein Voting Agreement and the Shachar Voting Agreement, a copy of which is filed as Exhibit 99.1 and 99.2 hereto respectively and the terms of which are incorporated herein by reference.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b/>
          <w:color w:val="212529"/>
          <w:sz w:val="20"/>
          <w:shd w:fill="FFFFFF" w:val="clear"/>
        </w:rPr>
      </w:pPr>
      <w:r>
        <w:rPr>
          <w:rFonts w:ascii="Times New Roman" w:hAnsi="Times New Roman"/>
          <w:b/>
          <w:color w:val="212529"/>
          <w:sz w:val="20"/>
          <w:shd w:fill="FFFFFF" w:val="clear"/>
        </w:rPr>
        <w:t>Item 9.01. Financial Statements and Exhibits.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color w:val="212529"/>
          <w:sz w:val="20"/>
          <w:shd w:fill="FFFFFF" w:val="clear"/>
        </w:rPr>
      </w:pPr>
      <w:r>
        <w:rPr>
          <w:rFonts w:ascii="Times New Roman" w:hAnsi="Times New Roman"/>
          <w:color w:val="212529"/>
          <w:sz w:val="20"/>
          <w:shd w:fill="FFFFFF" w:val="clear"/>
        </w:rPr>
        <w:t>(d) Exhibits.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tbl>
      <w:tblPr>
        <w:tblW w:w="10205" w:type="dxa"/>
        <w:jc w:val="left"/>
        <w:tblInd w:w="0" w:type="dxa"/>
        <w:tblLayout w:type="fixed"/>
        <w:tblCellMar>
          <w:top w:w="0" w:type="dxa"/>
          <w:left w:w="0" w:type="dxa"/>
          <w:bottom w:w="28" w:type="dxa"/>
          <w:right w:w="0" w:type="dxa"/>
        </w:tblCellMar>
      </w:tblPr>
      <w:tblGrid>
        <w:gridCol w:w="620"/>
        <w:gridCol w:w="60"/>
        <w:gridCol w:w="9525"/>
      </w:tblGrid>
      <w:tr>
        <w:trPr/>
        <w:tc>
          <w:tcPr>
            <w:tcW w:w="620" w:type="dxa"/>
            <w:tcBorders>
              <w:bottom w:val="single" w:sz="12" w:space="0" w:color="000000"/>
            </w:tcBorders>
            <w:vAlign w:val="center"/>
          </w:tcPr>
          <w:p>
            <w:pPr>
              <w:pStyle w:val="TableContents"/>
              <w:bidi w:val="0"/>
              <w:spacing w:before="0" w:after="0"/>
              <w:jc w:val="center"/>
              <w:rPr/>
            </w:pPr>
            <w:r>
              <w:rPr>
                <w:color w:val="212529"/>
              </w:rPr>
              <w:t> </w:t>
            </w:r>
            <w:r>
              <w:rPr>
                <w:rFonts w:ascii="Times New Roman" w:hAnsi="Times New Roman"/>
                <w:b/>
                <w:sz w:val="16"/>
              </w:rPr>
              <w:t>Exhibit</w:t>
            </w:r>
          </w:p>
          <w:p>
            <w:pPr>
              <w:pStyle w:val="TableContents"/>
              <w:bidi w:val="0"/>
              <w:spacing w:before="0" w:after="0"/>
              <w:jc w:val="center"/>
              <w:rPr>
                <w:rFonts w:ascii="Times New Roman" w:hAnsi="Times New Roman"/>
                <w:b/>
                <w:sz w:val="16"/>
              </w:rPr>
            </w:pPr>
            <w:r>
              <w:rPr>
                <w:rFonts w:ascii="Times New Roman" w:hAnsi="Times New Roman"/>
                <w:b/>
                <w:sz w:val="16"/>
              </w:rPr>
              <w:t>Number</w:t>
            </w:r>
          </w:p>
        </w:tc>
        <w:tc>
          <w:tcPr>
            <w:tcW w:w="60" w:type="dxa"/>
            <w:tcBorders/>
            <w:tcMar>
              <w:bottom w:w="0" w:type="dxa"/>
            </w:tcMar>
            <w:vAlign w:val="center"/>
          </w:tcPr>
          <w:p>
            <w:pPr>
              <w:pStyle w:val="TableContents"/>
              <w:bidi w:val="0"/>
              <w:spacing w:before="0" w:after="0"/>
              <w:jc w:val="left"/>
              <w:rPr/>
            </w:pPr>
            <w:r>
              <w:rPr/>
              <w:t> </w:t>
            </w:r>
          </w:p>
        </w:tc>
        <w:tc>
          <w:tcPr>
            <w:tcW w:w="9525" w:type="dxa"/>
            <w:tcBorders>
              <w:bottom w:val="single" w:sz="12" w:space="0" w:color="000000"/>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Description</w:t>
            </w:r>
          </w:p>
        </w:tc>
      </w:tr>
      <w:tr>
        <w:trPr/>
        <w:tc>
          <w:tcPr>
            <w:tcW w:w="620" w:type="dxa"/>
            <w:tcBorders>
              <w:top w:val="single" w:sz="12" w:space="0" w:color="000000"/>
            </w:tcBorders>
            <w:tcMar>
              <w:top w:w="28" w:type="dxa"/>
              <w:bottom w:w="0" w:type="dxa"/>
            </w:tcMar>
            <w:vAlign w:val="center"/>
          </w:tcPr>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0"/>
              <w:jc w:val="left"/>
              <w:rPr/>
            </w:pPr>
            <w:r>
              <w:rPr/>
              <w:t> </w:t>
            </w:r>
          </w:p>
        </w:tc>
        <w:tc>
          <w:tcPr>
            <w:tcW w:w="9525" w:type="dxa"/>
            <w:tcBorders>
              <w:top w:val="single" w:sz="12" w:space="0" w:color="000000"/>
            </w:tcBorders>
            <w:tcMar>
              <w:top w:w="28" w:type="dxa"/>
              <w:bottom w:w="0" w:type="dxa"/>
            </w:tcMar>
            <w:vAlign w:val="center"/>
          </w:tcPr>
          <w:p>
            <w:pPr>
              <w:pStyle w:val="TableContents"/>
              <w:bidi w:val="0"/>
              <w:spacing w:before="0" w:after="0"/>
              <w:jc w:val="left"/>
              <w:rPr/>
            </w:pPr>
            <w:r>
              <w:rPr/>
              <w:t> </w:t>
            </w:r>
          </w:p>
        </w:tc>
      </w:tr>
      <w:tr>
        <w:trPr/>
        <w:tc>
          <w:tcPr>
            <w:tcW w:w="620" w:type="dxa"/>
            <w:tcBorders/>
            <w:tcMar>
              <w:bottom w:w="0" w:type="dxa"/>
            </w:tcMar>
            <w:vAlign w:val="center"/>
          </w:tcPr>
          <w:p>
            <w:pPr>
              <w:pStyle w:val="TableContents"/>
              <w:bidi w:val="0"/>
              <w:spacing w:before="0" w:after="0"/>
              <w:jc w:val="center"/>
              <w:rPr/>
            </w:pPr>
            <w:hyperlink w:anchor="ex2-1.htm">
              <w:r>
                <w:rPr>
                  <w:rStyle w:val="InternetLink"/>
                  <w:rFonts w:ascii="Times New Roman" w:hAnsi="Times New Roman"/>
                  <w:sz w:val="20"/>
                </w:rPr>
                <w:t>2.1*</w:t>
              </w:r>
            </w:hyperlink>
          </w:p>
        </w:tc>
        <w:tc>
          <w:tcPr>
            <w:tcW w:w="60" w:type="dxa"/>
            <w:tcBorders/>
            <w:tcMar>
              <w:bottom w:w="0" w:type="dxa"/>
            </w:tcMar>
            <w:vAlign w:val="center"/>
          </w:tcPr>
          <w:p>
            <w:pPr>
              <w:pStyle w:val="TableContents"/>
              <w:bidi w:val="0"/>
              <w:spacing w:before="0" w:after="283"/>
              <w:jc w:val="left"/>
              <w:rPr/>
            </w:pPr>
            <w:r>
              <w:rPr/>
            </w:r>
          </w:p>
        </w:tc>
        <w:tc>
          <w:tcPr>
            <w:tcW w:w="9525" w:type="dxa"/>
            <w:tcBorders/>
            <w:tcMar>
              <w:bottom w:w="0" w:type="dxa"/>
            </w:tcMar>
            <w:vAlign w:val="center"/>
          </w:tcPr>
          <w:p>
            <w:pPr>
              <w:pStyle w:val="TableContents"/>
              <w:bidi w:val="0"/>
              <w:spacing w:before="0" w:after="0"/>
              <w:jc w:val="left"/>
              <w:rPr/>
            </w:pPr>
            <w:hyperlink w:anchor="ex2-1.htm">
              <w:r>
                <w:rPr>
                  <w:rStyle w:val="InternetLink"/>
                  <w:rFonts w:ascii="Times New Roman" w:hAnsi="Times New Roman"/>
                  <w:sz w:val="20"/>
                </w:rPr>
                <w:t>Agreement and Plan of Merger, dated March 9, 2026, by and among Universal Health Services, Inc., UHS Merger Subsidiary, Inc. and Talkspace, Inc.</w:t>
              </w:r>
            </w:hyperlink>
          </w:p>
        </w:tc>
      </w:tr>
      <w:tr>
        <w:trPr/>
        <w:tc>
          <w:tcPr>
            <w:tcW w:w="620" w:type="dxa"/>
            <w:tcBorders/>
            <w:tcMar>
              <w:bottom w:w="0" w:type="dxa"/>
            </w:tcMar>
            <w:vAlign w:val="center"/>
          </w:tcPr>
          <w:p>
            <w:pPr>
              <w:pStyle w:val="TableContents"/>
              <w:bidi w:val="0"/>
              <w:spacing w:before="0" w:after="0"/>
              <w:jc w:val="center"/>
              <w:rPr/>
            </w:pPr>
            <w:hyperlink w:anchor="ex99-1.htm">
              <w:r>
                <w:rPr>
                  <w:rStyle w:val="InternetLink"/>
                  <w:rFonts w:ascii="Times New Roman" w:hAnsi="Times New Roman"/>
                  <w:sz w:val="20"/>
                </w:rPr>
                <w:t>99.1*</w:t>
              </w:r>
            </w:hyperlink>
          </w:p>
        </w:tc>
        <w:tc>
          <w:tcPr>
            <w:tcW w:w="60" w:type="dxa"/>
            <w:tcBorders/>
            <w:tcMar>
              <w:bottom w:w="0" w:type="dxa"/>
            </w:tcMar>
            <w:vAlign w:val="center"/>
          </w:tcPr>
          <w:p>
            <w:pPr>
              <w:pStyle w:val="TableContents"/>
              <w:bidi w:val="0"/>
              <w:spacing w:before="0" w:after="283"/>
              <w:jc w:val="left"/>
              <w:rPr/>
            </w:pPr>
            <w:r>
              <w:rPr/>
            </w:r>
          </w:p>
        </w:tc>
        <w:tc>
          <w:tcPr>
            <w:tcW w:w="9525" w:type="dxa"/>
            <w:tcBorders/>
            <w:tcMar>
              <w:bottom w:w="0" w:type="dxa"/>
            </w:tcMar>
            <w:vAlign w:val="center"/>
          </w:tcPr>
          <w:p>
            <w:pPr>
              <w:pStyle w:val="TableContents"/>
              <w:bidi w:val="0"/>
              <w:spacing w:before="0" w:after="0"/>
              <w:jc w:val="left"/>
              <w:rPr/>
            </w:pPr>
            <w:hyperlink w:anchor="ex99-1.htm">
              <w:r>
                <w:rPr>
                  <w:rStyle w:val="InternetLink"/>
                  <w:rFonts w:ascii="Times New Roman" w:hAnsi="Times New Roman"/>
                  <w:sz w:val="20"/>
                </w:rPr>
                <w:t>Voting Agreement, dated March 9, 2026, by and among Universal Health Services, Inc., Douglas L. Braunstein, HEC Master Fund LP and Braunstein 2015 Trust.</w:t>
              </w:r>
            </w:hyperlink>
          </w:p>
        </w:tc>
      </w:tr>
      <w:tr>
        <w:trPr/>
        <w:tc>
          <w:tcPr>
            <w:tcW w:w="620" w:type="dxa"/>
            <w:tcBorders/>
            <w:tcMar>
              <w:bottom w:w="0" w:type="dxa"/>
            </w:tcMar>
            <w:vAlign w:val="center"/>
          </w:tcPr>
          <w:p>
            <w:pPr>
              <w:pStyle w:val="TableContents"/>
              <w:bidi w:val="0"/>
              <w:spacing w:before="0" w:after="0"/>
              <w:jc w:val="center"/>
              <w:rPr/>
            </w:pPr>
            <w:hyperlink w:anchor="ex99-2.htm">
              <w:r>
                <w:rPr>
                  <w:rStyle w:val="InternetLink"/>
                  <w:rFonts w:ascii="Times New Roman" w:hAnsi="Times New Roman"/>
                  <w:sz w:val="20"/>
                </w:rPr>
                <w:t>99.2*</w:t>
              </w:r>
            </w:hyperlink>
          </w:p>
        </w:tc>
        <w:tc>
          <w:tcPr>
            <w:tcW w:w="60" w:type="dxa"/>
            <w:tcBorders/>
            <w:tcMar>
              <w:bottom w:w="0" w:type="dxa"/>
            </w:tcMar>
            <w:vAlign w:val="center"/>
          </w:tcPr>
          <w:p>
            <w:pPr>
              <w:pStyle w:val="TableContents"/>
              <w:bidi w:val="0"/>
              <w:spacing w:before="0" w:after="283"/>
              <w:jc w:val="left"/>
              <w:rPr/>
            </w:pPr>
            <w:r>
              <w:rPr/>
            </w:r>
          </w:p>
        </w:tc>
        <w:tc>
          <w:tcPr>
            <w:tcW w:w="9525" w:type="dxa"/>
            <w:tcBorders/>
            <w:tcMar>
              <w:bottom w:w="0" w:type="dxa"/>
            </w:tcMar>
            <w:vAlign w:val="center"/>
          </w:tcPr>
          <w:p>
            <w:pPr>
              <w:pStyle w:val="TableContents"/>
              <w:bidi w:val="0"/>
              <w:spacing w:before="0" w:after="0"/>
              <w:jc w:val="left"/>
              <w:rPr/>
            </w:pPr>
            <w:hyperlink w:anchor="ex99-2.htm">
              <w:r>
                <w:rPr>
                  <w:rStyle w:val="InternetLink"/>
                  <w:rFonts w:ascii="Times New Roman" w:hAnsi="Times New Roman"/>
                  <w:sz w:val="20"/>
                </w:rPr>
                <w:t>Voting Agreement, dated March 9, 2026, by and among Universal Health Services, Inc., Erez Shachar and Qumra Capital II, L.P.</w:t>
              </w:r>
            </w:hyperlink>
          </w:p>
        </w:tc>
      </w:tr>
      <w:tr>
        <w:trPr/>
        <w:tc>
          <w:tcPr>
            <w:tcW w:w="620" w:type="dxa"/>
            <w:tcBorders/>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104</w:t>
            </w:r>
          </w:p>
        </w:tc>
        <w:tc>
          <w:tcPr>
            <w:tcW w:w="60" w:type="dxa"/>
            <w:tcBorders/>
            <w:tcMar>
              <w:bottom w:w="0" w:type="dxa"/>
            </w:tcMar>
            <w:vAlign w:val="center"/>
          </w:tcPr>
          <w:p>
            <w:pPr>
              <w:pStyle w:val="TableContents"/>
              <w:bidi w:val="0"/>
              <w:spacing w:before="0" w:after="0"/>
              <w:jc w:val="left"/>
              <w:rPr/>
            </w:pPr>
            <w:r>
              <w:rPr/>
              <w:t> </w:t>
            </w:r>
          </w:p>
        </w:tc>
        <w:tc>
          <w:tcPr>
            <w:tcW w:w="9525" w:type="dxa"/>
            <w:tcBorders/>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Cover Page Interactive Data File (embedded within the Inline XBRL document)</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HorizontalLine"/>
        <w:bidi w:val="0"/>
        <w:jc w:val="left"/>
        <w:rPr/>
      </w:pPr>
      <w:r>
        <w:rPr/>
      </w:r>
    </w:p>
    <w:p>
      <w:pPr>
        <w:pStyle w:val="TextBody"/>
        <w:bidi w:val="0"/>
        <w:spacing w:before="0" w:after="0"/>
        <w:jc w:val="left"/>
        <w:rPr>
          <w:rFonts w:ascii="Times New Roman" w:hAnsi="Times New Roman"/>
          <w:color w:val="212529"/>
          <w:sz w:val="20"/>
          <w:shd w:fill="FFFFFF" w:val="clear"/>
        </w:rPr>
      </w:pPr>
      <w:r>
        <w:rPr>
          <w:rFonts w:ascii="Times New Roman" w:hAnsi="Times New Roman"/>
          <w:color w:val="212529"/>
          <w:sz w:val="20"/>
          <w:shd w:fill="FFFFFF" w:val="clear"/>
        </w:rPr>
        <w:t>* Certain schedules and exhibits have been omitted pursuant to Item 601(a)(5) of Regulation S-K. A copy of any omitted schedule or exhibit will be furnished supplementally to the SEC upon request; provided, however, that the parties may request confidential treatment pursuant to Rule 24b-2 of the Securities Exchange Act of 1934, as amended, for any document so furnished.</w:t>
      </w:r>
    </w:p>
    <w:p>
      <w:pPr>
        <w:pStyle w:val="TextBody"/>
        <w:bidi w:val="0"/>
        <w:spacing w:before="0" w:after="0"/>
        <w:jc w:val="left"/>
        <w:rPr>
          <w:rFonts w:ascii="Times New Roman" w:hAnsi="Times New Roman"/>
          <w:color w:val="212529"/>
          <w:sz w:val="20"/>
        </w:rPr>
      </w:pPr>
      <w:r>
        <w:rPr>
          <w:rFonts w:ascii="Times New Roman" w:hAnsi="Times New Roman"/>
          <w:color w:val="212529"/>
          <w:sz w:val="20"/>
        </w:rPr>
      </w:r>
    </w:p>
    <w:p>
      <w:pPr>
        <w:pStyle w:val="HorizontalLine"/>
        <w:bidi w:val="0"/>
        <w:spacing w:before="200" w:after="200"/>
        <w:jc w:val="left"/>
        <w:rPr/>
      </w:pPr>
      <w:r>
        <w:rPr/>
      </w:r>
    </w:p>
    <w:p>
      <w:pPr>
        <w:pStyle w:val="TextBody"/>
        <w:bidi w:val="0"/>
        <w:spacing w:before="0" w:after="0"/>
        <w:jc w:val="left"/>
        <w:rPr>
          <w:rFonts w:ascii="Times New Roman" w:hAnsi="Times New Roman"/>
          <w:b/>
          <w:color w:val="212529"/>
          <w:sz w:val="20"/>
          <w:shd w:fill="FFFFFF" w:val="clear"/>
        </w:rPr>
      </w:pPr>
      <w:r>
        <w:rPr>
          <w:rFonts w:ascii="Times New Roman" w:hAnsi="Times New Roman"/>
          <w:b/>
          <w:color w:val="212529"/>
          <w:sz w:val="20"/>
          <w:shd w:fill="FFFFFF" w:val="clear"/>
        </w:rPr>
        <w:t>Forward-Looking Statements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This release contains “forward-looking statements” within the meaning of the Private Securities Litigation Reform Act of 1995 regarding the Company, which involves substantial risks and uncertainties that could cause actual results to differ materially from those expressed or implied by such statements. All statements other than statements of historical fact are, or may be deemed to be, forward-looking statements. In some cases, forward-looking statements can be identified by the use of forward-looking terms such as “anticipate,” “estimate,” “believe,” “continue,” “could,” “intend,” “may,” “plan,” “potential,” “predict,” “should,” “will,” “expect,” “are confident that,” “objective,” “projection,” “forecast,” “goal,” “guidance,” “outlook,” “effort,” “target,” “would” or the negative of these terms or other comparable terms. Forward-looking statements in this release include, among other things, statements about the potential benefits of the proposed transaction; anticipated accretion and growth rates; plans, objectives, beliefs, expectations and intentions of the Board and the Company management; the financial condition, results of operations and business of the Company; and the anticipated timing of closing of the proposed transaction.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These forward-looking statements are based on certain assumptions and analyses made by the Company in light of the Company’s experience and perception of historical trends, current conditions and expected future developments, as well as other factors the Company believes are appropriate in the circumstances. These forward-looking statements also are based on the current expectations and beliefs of the management of the Company and are subject to certain known and unknown risks and uncertainties that could cause actual results to differ materially from those described in the forward-looking statements. Risks and uncertainties include, among other things, (i) risks related to the satisfaction of the conditions to closing the proposed transaction (including the failure to obtain necessary regulatory approvals) in the anticipated timeframe or at all, including uncertainties as whether the stockholders of the Company will approve the proposed transaction and the possibility that the proposed transaction does not close; (ii) risks related to the possibility that competing offers or acquisition proposals for the Company will be made; (iii) the occurrence of any event, change or other circumstances that could give rise to the termination of the definitive transaction agreement relating to the proposed transaction, including in circumstances which would require the Company to pay a termination fee; (iv) risks related to the ability to realize the anticipated benefits of the proposed transaction, including the possibility that the expected benefits from the proposed transaction will not be realized or will not be realized within the expected time period; (v) the risk that the businesses will not be integrated successfully; (vi) disruption from the proposed transaction making it more difficult to maintain business and operational relationships, including with customers, vendors, service providers and other business counterparties, and the Company’s ability to attract, motivate or retain key executives, employees and other associates; (vii) risk related to the proposed transaction diverting the Company’s management’s attention from ongoing business operations; (viii) negative effects of the announcement of the Merger or the consummation of the proposed transaction on the market price of Company Common Stock and on the Company’s operating results; (ix) the risk of litigation, including shareholder litigation, and/or regulatory actions, including any conditions, limitations or restrictions placed on approvals by any applicable governmental entities, related to the proposed transaction; and (x) (A) other risks and uncertainties discussed in the Company’s Annual Report on Form 10-K, for the fiscal year ended December 31, 2024 and subsequent Quarterly Reports on Form 10-Q (in particular, the risk factors set forth under the headings “Risk Factors” and “Management’s Discussion and Analysis of Financial Condition and Results of Operations” in such Annual Reports and Quarterly Reports), and (B) other risk factors identified from time to time in other filings with the U.S. Securities and Exchange Commission (the “</w:t>
      </w:r>
      <w:r>
        <w:rPr>
          <w:rFonts w:ascii="Times New Roman" w:hAnsi="Times New Roman"/>
          <w:color w:val="000000"/>
          <w:sz w:val="20"/>
          <w:u w:val="single"/>
          <w:shd w:fill="FFFFFF" w:val="clear"/>
        </w:rPr>
        <w:t>SEC</w:t>
      </w:r>
      <w:r>
        <w:rPr>
          <w:rFonts w:ascii="Times New Roman" w:hAnsi="Times New Roman"/>
          <w:color w:val="000000"/>
          <w:sz w:val="20"/>
          <w:shd w:fill="FFFFFF" w:val="clear"/>
        </w:rPr>
        <w:t>”). Filings with the SEC are available on the SEC’s website at http://www.sec.gov.</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list of factors that may affect actual results and the accuracy of forward-looking statements is illustrative and is not intended to be exhaustive. Readers are cautioned not to place undue reliance on any of these forward-looking statements. These forward-looking statements speak only as of the date hereof. The Company undertakes no obligation to update any of these forward-looking statements as the result of new information or to reflect events or circumstances after the date of this communication or to reflect actual outcomes, expect as required by law, and expressly disclaims any obligation to revise or update any forward-looking statement to reflect future events or circumstances.</w:t>
      </w:r>
    </w:p>
    <w:p>
      <w:pPr>
        <w:pStyle w:val="TextBody"/>
        <w:bidi w:val="0"/>
        <w:spacing w:before="0" w:after="0"/>
        <w:jc w:val="left"/>
        <w:rPr/>
      </w:pPr>
      <w:r>
        <w:rPr/>
      </w:r>
    </w:p>
    <w:p>
      <w:pPr>
        <w:pStyle w:val="TextBody"/>
        <w:bidi w:val="0"/>
        <w:spacing w:before="0" w:after="0"/>
        <w:jc w:val="left"/>
        <w:rPr>
          <w:rFonts w:ascii="Times New Roman" w:hAnsi="Times New Roman"/>
          <w:b/>
          <w:color w:val="212529"/>
          <w:sz w:val="20"/>
          <w:shd w:fill="FFFFFF" w:val="clear"/>
        </w:rPr>
      </w:pPr>
      <w:r>
        <w:rPr>
          <w:rFonts w:ascii="Times New Roman" w:hAnsi="Times New Roman"/>
          <w:b/>
          <w:color w:val="212529"/>
          <w:sz w:val="20"/>
          <w:shd w:fill="FFFFFF" w:val="clear"/>
        </w:rPr>
        <w:t>Additional Information about the Proposed Transaction and Where to Find It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 connection with the proposed transaction, the Company intends to file relevant materials with the SEC, including preliminary and definitive proxy statements relating to the proposed transaction. The definitive proxy statement will be mailed to the Company’s stockholders in connection with the proposed transaction. BEFORE MAKING ANY VOTING DECISION, INVESTORS AND SECURITY HOLDERS OF THE COMPANY ARE URGED TO READ THE PRELIMINARY AND DEFINITIVE PROXY STATEMENTS AND ALL RELEVANT DOCUMENTS TO BE FILED WITH THE SEC IN CONNECTION WITH THE PROPOSED TRANSACTION OR INCORPORATED BY REFERENCE IN THE PROXY STATEMENT WHEN THEY BECOME AVAILABLE BECAUSE THEY WILL CONTAIN IMPORTANT INFORMATION ABOUT THE PROPOSED TRANSACTION. Investors and security holders may obtain free copies of these documents (if and when they are available) and other related documents filed with the SEC at the SEC’s web site at www.sec.gov, and on the Company’s website at www.talkspace.com.</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Participants in the Solicitation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Company and its directors and executive officers and other members of management and employees may, under SEC rules, be deemed participants in the solicitation of proxies from the stockholders of the Company in connection with the proposed transaction. Information regarding the Company’s directors and executive officers can be found in the Company’s definitive proxy statement on Schedule 14A for the 2025 Annual Meeting of Stockholders, which was filed with the SEC on April 30, 2025 and subsequent statements of beneficial ownership on file with the SEC. These documents are available free of charge at the SEC’s web site at www.sec.gov and on the Company’s website at www.talkspace.com. Additional information regarding the interest of the participants in the solicitation of the Company’s stockholders, which may, in some cases, be different than those of the Company’s stockholders generally, will be set forth in the proxy statement related to the proposed transaction described above and other relevant materials to be filed with the SEC if and when they become available.</w:t>
      </w:r>
    </w:p>
    <w:p>
      <w:pPr>
        <w:pStyle w:val="TextBody"/>
        <w:bidi w:val="0"/>
        <w:spacing w:before="0" w:after="0"/>
        <w:jc w:val="left"/>
        <w:rPr/>
      </w:pPr>
      <w:r>
        <w:rPr/>
      </w:r>
    </w:p>
    <w:p>
      <w:pPr>
        <w:pStyle w:val="HorizontalLine"/>
        <w:bidi w:val="0"/>
        <w:spacing w:before="200" w:after="20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5270" w:type="dxa"/>
        <w:jc w:val="left"/>
        <w:tblInd w:w="0" w:type="dxa"/>
        <w:tblLayout w:type="fixed"/>
        <w:tblCellMar>
          <w:top w:w="0" w:type="dxa"/>
          <w:left w:w="0" w:type="dxa"/>
          <w:bottom w:w="0" w:type="dxa"/>
          <w:right w:w="0" w:type="dxa"/>
        </w:tblCellMar>
      </w:tblPr>
      <w:tblGrid>
        <w:gridCol w:w="1985"/>
        <w:gridCol w:w="425"/>
        <w:gridCol w:w="590"/>
        <w:gridCol w:w="2210"/>
        <w:gridCol w:w="60"/>
      </w:tblGrid>
      <w:tr>
        <w:trPr/>
        <w:tc>
          <w:tcPr>
            <w:tcW w:w="1985" w:type="dxa"/>
            <w:tcBorders/>
          </w:tcPr>
          <w:p>
            <w:pPr>
              <w:pStyle w:val="TableContents"/>
              <w:bidi w:val="0"/>
              <w:spacing w:before="0" w:after="283"/>
              <w:jc w:val="left"/>
              <w:rPr/>
            </w:pPr>
            <w:r>
              <w:rPr/>
              <w:t> </w:t>
            </w:r>
          </w:p>
        </w:tc>
        <w:tc>
          <w:tcPr>
            <w:tcW w:w="3225" w:type="dxa"/>
            <w:gridSpan w:val="3"/>
            <w:tcBorders/>
          </w:tcPr>
          <w:p>
            <w:pPr>
              <w:pStyle w:val="TableContents"/>
              <w:bidi w:val="0"/>
              <w:spacing w:before="0" w:after="283"/>
              <w:jc w:val="left"/>
              <w:rPr>
                <w:b/>
              </w:rPr>
            </w:pPr>
            <w:r>
              <w:rPr>
                <w:b/>
              </w:rPr>
              <w:t>Talkspace, Inc.</w:t>
            </w:r>
          </w:p>
        </w:tc>
        <w:tc>
          <w:tcPr>
            <w:tcW w:w="60" w:type="dxa"/>
            <w:tcBorders/>
          </w:tcPr>
          <w:p>
            <w:pPr>
              <w:pStyle w:val="TableContents"/>
              <w:bidi w:val="0"/>
              <w:spacing w:before="0" w:after="283"/>
              <w:jc w:val="left"/>
              <w:rPr/>
            </w:pPr>
            <w:r>
              <w:rPr/>
              <w:t> </w:t>
            </w:r>
          </w:p>
        </w:tc>
      </w:tr>
      <w:tr>
        <w:trPr/>
        <w:tc>
          <w:tcPr>
            <w:tcW w:w="1985" w:type="dxa"/>
            <w:tcBorders/>
          </w:tcPr>
          <w:p>
            <w:pPr>
              <w:pStyle w:val="TableContents"/>
              <w:bidi w:val="0"/>
              <w:spacing w:before="0" w:after="283"/>
              <w:jc w:val="left"/>
              <w:rPr/>
            </w:pPr>
            <w:r>
              <w:rPr/>
              <w:t> </w:t>
            </w:r>
          </w:p>
        </w:tc>
        <w:tc>
          <w:tcPr>
            <w:tcW w:w="425" w:type="dxa"/>
            <w:tcBorders/>
          </w:tcPr>
          <w:p>
            <w:pPr>
              <w:pStyle w:val="TableContents"/>
              <w:bidi w:val="0"/>
              <w:spacing w:before="0" w:after="283"/>
              <w:jc w:val="left"/>
              <w:rPr/>
            </w:pPr>
            <w:r>
              <w:rPr/>
              <w:t> </w:t>
            </w:r>
          </w:p>
        </w:tc>
        <w:tc>
          <w:tcPr>
            <w:tcW w:w="2800" w:type="dxa"/>
            <w:gridSpan w:val="2"/>
            <w:tcBorders/>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r>
      <w:tr>
        <w:trPr/>
        <w:tc>
          <w:tcPr>
            <w:tcW w:w="1985" w:type="dxa"/>
            <w:tcBorders/>
          </w:tcPr>
          <w:p>
            <w:pPr>
              <w:pStyle w:val="TableContents"/>
              <w:bidi w:val="0"/>
              <w:spacing w:before="0" w:after="283"/>
              <w:jc w:val="left"/>
              <w:rPr/>
            </w:pPr>
            <w:r>
              <w:rPr/>
            </w:r>
          </w:p>
        </w:tc>
        <w:tc>
          <w:tcPr>
            <w:tcW w:w="425" w:type="dxa"/>
            <w:tcBorders/>
          </w:tcPr>
          <w:p>
            <w:pPr>
              <w:pStyle w:val="TableContents"/>
              <w:bidi w:val="0"/>
              <w:spacing w:before="0" w:after="0"/>
              <w:ind w:left="0" w:right="0" w:hanging="0"/>
              <w:jc w:val="left"/>
              <w:rPr/>
            </w:pPr>
            <w:r>
              <w:rPr/>
              <w:t xml:space="preserve">By: </w:t>
            </w:r>
          </w:p>
        </w:tc>
        <w:tc>
          <w:tcPr>
            <w:tcW w:w="2800" w:type="dxa"/>
            <w:gridSpan w:val="2"/>
            <w:tcBorders>
              <w:bottom w:val="single" w:sz="12" w:space="0" w:color="000000"/>
            </w:tcBorders>
            <w:tcMar>
              <w:bottom w:w="28" w:type="dxa"/>
            </w:tcMar>
          </w:tcPr>
          <w:p>
            <w:pPr>
              <w:pStyle w:val="TableContents"/>
              <w:bidi w:val="0"/>
              <w:spacing w:before="0" w:after="283"/>
              <w:jc w:val="left"/>
              <w:rPr>
                <w:rFonts w:ascii="Times New Roman" w:hAnsi="Times New Roman"/>
                <w:sz w:val="20"/>
              </w:rPr>
            </w:pPr>
            <w:r>
              <w:rPr>
                <w:rFonts w:ascii="Times New Roman" w:hAnsi="Times New Roman"/>
                <w:sz w:val="20"/>
              </w:rPr>
              <w:t>/s/ Ian Harris</w:t>
            </w:r>
          </w:p>
        </w:tc>
        <w:tc>
          <w:tcPr>
            <w:tcW w:w="60" w:type="dxa"/>
            <w:tcBorders/>
          </w:tcPr>
          <w:p>
            <w:pPr>
              <w:pStyle w:val="TableContents"/>
              <w:bidi w:val="0"/>
              <w:spacing w:before="0" w:after="283"/>
              <w:jc w:val="left"/>
              <w:rPr/>
            </w:pPr>
            <w:r>
              <w:rPr/>
              <w:t> </w:t>
            </w:r>
          </w:p>
        </w:tc>
      </w:tr>
      <w:tr>
        <w:trPr/>
        <w:tc>
          <w:tcPr>
            <w:tcW w:w="1985" w:type="dxa"/>
            <w:tcBorders/>
          </w:tcPr>
          <w:p>
            <w:pPr>
              <w:pStyle w:val="TableContents"/>
              <w:bidi w:val="0"/>
              <w:spacing w:before="0" w:after="283"/>
              <w:jc w:val="left"/>
              <w:rPr/>
            </w:pPr>
            <w:r>
              <w:rPr/>
              <w:t> </w:t>
            </w:r>
          </w:p>
        </w:tc>
        <w:tc>
          <w:tcPr>
            <w:tcW w:w="425" w:type="dxa"/>
            <w:tcBorders/>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pPr>
            <w:r>
              <w:rPr/>
              <w:t>Name</w:t>
            </w:r>
          </w:p>
        </w:tc>
        <w:tc>
          <w:tcPr>
            <w:tcW w:w="2210" w:type="dxa"/>
            <w:tcBorders/>
            <w:vAlign w:val="bottom"/>
          </w:tcPr>
          <w:p>
            <w:pPr>
              <w:pStyle w:val="TableContents"/>
              <w:bidi w:val="0"/>
              <w:spacing w:before="0" w:after="283"/>
              <w:jc w:val="left"/>
              <w:rPr>
                <w:rFonts w:ascii="Times New Roman" w:hAnsi="Times New Roman"/>
                <w:sz w:val="20"/>
              </w:rPr>
            </w:pPr>
            <w:r>
              <w:rPr>
                <w:rFonts w:ascii="Times New Roman" w:hAnsi="Times New Roman"/>
                <w:sz w:val="20"/>
              </w:rPr>
              <w:t xml:space="preserve">Ian Harris   </w:t>
            </w:r>
          </w:p>
        </w:tc>
        <w:tc>
          <w:tcPr>
            <w:tcW w:w="60" w:type="dxa"/>
            <w:tcBorders/>
          </w:tcPr>
          <w:p>
            <w:pPr>
              <w:pStyle w:val="TableContents"/>
              <w:bidi w:val="0"/>
              <w:spacing w:before="0" w:after="283"/>
              <w:jc w:val="left"/>
              <w:rPr/>
            </w:pPr>
            <w:r>
              <w:rPr/>
              <w:t> </w:t>
            </w:r>
          </w:p>
        </w:tc>
      </w:tr>
      <w:tr>
        <w:trPr/>
        <w:tc>
          <w:tcPr>
            <w:tcW w:w="1985" w:type="dxa"/>
            <w:tcBorders/>
          </w:tcPr>
          <w:p>
            <w:pPr>
              <w:pStyle w:val="TableContents"/>
              <w:bidi w:val="0"/>
              <w:spacing w:before="0" w:after="283"/>
              <w:jc w:val="left"/>
              <w:rPr/>
            </w:pPr>
            <w:r>
              <w:rPr/>
              <w:t> </w:t>
            </w:r>
          </w:p>
        </w:tc>
        <w:tc>
          <w:tcPr>
            <w:tcW w:w="425" w:type="dxa"/>
            <w:tcBorders/>
          </w:tcPr>
          <w:p>
            <w:pPr>
              <w:pStyle w:val="TableContents"/>
              <w:bidi w:val="0"/>
              <w:spacing w:before="0" w:after="283"/>
              <w:jc w:val="left"/>
              <w:rPr/>
            </w:pPr>
            <w:r>
              <w:rPr/>
              <w:t> </w:t>
            </w:r>
          </w:p>
        </w:tc>
        <w:tc>
          <w:tcPr>
            <w:tcW w:w="590" w:type="dxa"/>
            <w:tcBorders/>
          </w:tcPr>
          <w:p>
            <w:pPr>
              <w:pStyle w:val="TableContents"/>
              <w:bidi w:val="0"/>
              <w:spacing w:before="0" w:after="283"/>
              <w:jc w:val="left"/>
              <w:rPr/>
            </w:pPr>
            <w:r>
              <w:rPr/>
              <w:t>Title</w:t>
            </w:r>
          </w:p>
        </w:tc>
        <w:tc>
          <w:tcPr>
            <w:tcW w:w="2210" w:type="dxa"/>
            <w:tcBorders/>
          </w:tcPr>
          <w:p>
            <w:pPr>
              <w:pStyle w:val="TableContents"/>
              <w:bidi w:val="0"/>
              <w:spacing w:before="0" w:after="283"/>
              <w:jc w:val="left"/>
              <w:rPr/>
            </w:pPr>
            <w:r>
              <w:rPr/>
              <w:t>Chief Financial Officer</w:t>
            </w:r>
          </w:p>
        </w:tc>
        <w:tc>
          <w:tcPr>
            <w:tcW w:w="60" w:type="dxa"/>
            <w:tcBorders/>
          </w:tcPr>
          <w:p>
            <w:pPr>
              <w:pStyle w:val="TableContents"/>
              <w:bidi w:val="0"/>
              <w:spacing w:before="0" w:after="283"/>
              <w:jc w:val="left"/>
              <w:rPr/>
            </w:pPr>
            <w:r>
              <w:rPr/>
              <w:t> </w:t>
            </w:r>
          </w:p>
        </w:tc>
      </w:tr>
      <w:tr>
        <w:trPr/>
        <w:tc>
          <w:tcPr>
            <w:tcW w:w="1985" w:type="dxa"/>
            <w:tcBorders/>
          </w:tcPr>
          <w:p>
            <w:pPr>
              <w:pStyle w:val="TableContents"/>
              <w:bidi w:val="0"/>
              <w:spacing w:before="0" w:after="283"/>
              <w:jc w:val="left"/>
              <w:rPr/>
            </w:pPr>
            <w:r>
              <w:rPr/>
              <w:t>Date: March 9, 2026</w:t>
            </w:r>
          </w:p>
        </w:tc>
        <w:tc>
          <w:tcPr>
            <w:tcW w:w="425" w:type="dxa"/>
            <w:tcBorders/>
          </w:tcPr>
          <w:p>
            <w:pPr>
              <w:pStyle w:val="TableContents"/>
              <w:bidi w:val="0"/>
              <w:spacing w:before="0" w:after="283"/>
              <w:jc w:val="left"/>
              <w:rPr/>
            </w:pPr>
            <w:r>
              <w:rPr/>
              <w:t> </w:t>
            </w:r>
          </w:p>
        </w:tc>
        <w:tc>
          <w:tcPr>
            <w:tcW w:w="2800" w:type="dxa"/>
            <w:gridSpan w:val="2"/>
            <w:tcBorders/>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pPr>
      <w:r>
        <w:rPr/>
      </w:r>
    </w:p>
    <w:p>
      <w:pPr>
        <w:pStyle w:val="TextBody"/>
        <w:bidi w:val="0"/>
        <w:jc w:val="left"/>
        <w:rPr/>
      </w:pPr>
      <w:r>
        <w:rPr/>
      </w:r>
    </w:p>
    <w:p>
      <w:pPr>
        <w:pStyle w:val="TextBody"/>
        <w:bidi w:val="0"/>
        <w:spacing w:before="0" w:after="0"/>
        <w:jc w:val="right"/>
        <w:rPr>
          <w:rFonts w:ascii="Times New Roman" w:hAnsi="Times New Roman"/>
          <w:b/>
          <w:color w:val="000000"/>
          <w:sz w:val="20"/>
        </w:rPr>
      </w:pPr>
      <w:bookmarkStart w:id="0" w:name="ex2-1.htm"/>
      <w:bookmarkStart w:id="1" w:name="ksex21"/>
      <w:bookmarkEnd w:id="0"/>
      <w:bookmarkEnd w:id="1"/>
      <w:r>
        <w:rPr>
          <w:rFonts w:ascii="Times New Roman" w:hAnsi="Times New Roman"/>
          <w:b/>
          <w:color w:val="000000"/>
          <w:sz w:val="20"/>
        </w:rPr>
        <w:t>Exhibit 2.1</w:t>
      </w:r>
      <w:r>
        <w:br w:type="page"/>
      </w:r>
    </w:p>
    <w:p>
      <w:pPr>
        <w:pStyle w:val="TextBody"/>
        <w:bidi w:val="0"/>
        <w:spacing w:before="0" w:after="0"/>
        <w:jc w:val="left"/>
        <w:rPr/>
      </w:pPr>
      <w:r>
        <w:rPr/>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EXECUTION VERSION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AGREEMENT AND PLAN OF MERGER</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By and Among</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UNIVERSAL HEALTH SERVICES, INC.,</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UHS MERGER SUBSIDIARY, INC.</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and</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TALKSPACE,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Dated as of March 9, 2026</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single" w:sz="12" w:space="0" w:color="808080"/>
        </w:pBdr>
        <w:bidi w:val="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u w:val="single"/>
        </w:rPr>
      </w:pPr>
      <w:r>
        <w:rPr>
          <w:u w:val="single"/>
        </w:rPr>
      </w:r>
    </w:p>
    <w:p>
      <w:pPr>
        <w:pStyle w:val="TextBody"/>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TABLE OF CONTENTS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right"/>
        <w:rPr>
          <w:rFonts w:ascii="Times New Roman" w:hAnsi="Times New Roman"/>
          <w:color w:val="000000"/>
          <w:sz w:val="20"/>
          <w:u w:val="single"/>
        </w:rPr>
      </w:pPr>
      <w:r>
        <w:rPr>
          <w:rFonts w:ascii="Times New Roman" w:hAnsi="Times New Roman"/>
          <w:color w:val="000000"/>
          <w:sz w:val="20"/>
          <w:u w:val="single"/>
        </w:rPr>
        <w:t>Page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right"/>
        <w:rPr>
          <w:rFonts w:ascii="Times New Roman" w:hAnsi="Times New Roman"/>
          <w:color w:val="000000"/>
          <w:sz w:val="20"/>
          <w:u w:val="single"/>
        </w:rPr>
      </w:pPr>
      <w:r>
        <w:rPr>
          <w:rFonts w:ascii="Times New Roman" w:hAnsi="Times New Roman"/>
          <w:color w:val="000000"/>
          <w:sz w:val="20"/>
          <w:u w:val="single"/>
        </w:rPr>
        <w:t>Page</w:t>
      </w:r>
    </w:p>
    <w:p>
      <w:pPr>
        <w:pStyle w:val="Normal"/>
        <w:bidi w:val="0"/>
        <w:spacing w:before="0" w:after="0"/>
        <w:jc w:val="left"/>
        <w:rPr>
          <w:sz w:val="4"/>
          <w:szCs w:val="4"/>
        </w:rPr>
      </w:pPr>
      <w:r>
        <w:rPr>
          <w:sz w:val="4"/>
          <w:szCs w:val="4"/>
        </w:rPr>
      </w:r>
      <w:bookmarkStart w:id="2" w:name="zf9aab3a08186489b924108cdf6766b95"/>
      <w:bookmarkStart w:id="3" w:name="zf9aab3a08186489b924108cdf6766b95"/>
      <w:bookmarkEnd w:id="3"/>
    </w:p>
    <w:tbl>
      <w:tblPr>
        <w:tblW w:w="8415" w:type="dxa"/>
        <w:jc w:val="left"/>
        <w:tblInd w:w="0" w:type="dxa"/>
        <w:tblLayout w:type="fixed"/>
        <w:tblCellMar>
          <w:top w:w="0" w:type="dxa"/>
          <w:left w:w="0" w:type="dxa"/>
          <w:bottom w:w="0" w:type="dxa"/>
          <w:right w:w="0" w:type="dxa"/>
        </w:tblCellMar>
      </w:tblPr>
      <w:tblGrid>
        <w:gridCol w:w="1595"/>
        <w:gridCol w:w="6560"/>
        <w:gridCol w:w="260"/>
      </w:tblGrid>
      <w:tr>
        <w:trPr/>
        <w:tc>
          <w:tcPr>
            <w:tcW w:w="8415" w:type="dxa"/>
            <w:gridSpan w:val="3"/>
            <w:tcBorders/>
            <w:vAlign w:val="center"/>
          </w:tcPr>
          <w:p>
            <w:pPr>
              <w:pStyle w:val="TableContents"/>
              <w:bidi w:val="0"/>
              <w:spacing w:before="0" w:after="0"/>
              <w:jc w:val="center"/>
              <w:rPr/>
            </w:pPr>
            <w:r>
              <w:rPr/>
              <w:t>ARTICLE I</w:t>
            </w:r>
          </w:p>
        </w:tc>
      </w:tr>
      <w:tr>
        <w:trPr/>
        <w:tc>
          <w:tcPr>
            <w:tcW w:w="8415" w:type="dxa"/>
            <w:gridSpan w:val="3"/>
            <w:tcBorders/>
            <w:vAlign w:val="center"/>
          </w:tcPr>
          <w:p>
            <w:pPr>
              <w:pStyle w:val="TableContents"/>
              <w:bidi w:val="0"/>
              <w:spacing w:before="0" w:after="0"/>
              <w:jc w:val="center"/>
              <w:rPr/>
            </w:pPr>
            <w:r>
              <w:rPr/>
              <w:t>The Merger</w:t>
            </w:r>
          </w:p>
        </w:tc>
      </w:tr>
      <w:tr>
        <w:trPr/>
        <w:tc>
          <w:tcPr>
            <w:tcW w:w="1595"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jc w:val="left"/>
              <w:rPr/>
            </w:pPr>
            <w:r>
              <w:rPr/>
              <w:t>SECTION 1.01.</w:t>
            </w:r>
          </w:p>
        </w:tc>
        <w:tc>
          <w:tcPr>
            <w:tcW w:w="6560" w:type="dxa"/>
            <w:tcBorders/>
            <w:shd w:fill="CCEEFF" w:val="clear"/>
            <w:vAlign w:val="center"/>
          </w:tcPr>
          <w:p>
            <w:pPr>
              <w:pStyle w:val="TableContents"/>
              <w:bidi w:val="0"/>
              <w:spacing w:before="0" w:after="0"/>
              <w:jc w:val="left"/>
              <w:rPr/>
            </w:pPr>
            <w:r>
              <w:rPr/>
              <w:t>The Merger</w:t>
            </w:r>
          </w:p>
        </w:tc>
        <w:tc>
          <w:tcPr>
            <w:tcW w:w="260" w:type="dxa"/>
            <w:tcBorders/>
            <w:shd w:fill="CCEEFF" w:val="clear"/>
            <w:vAlign w:val="center"/>
          </w:tcPr>
          <w:p>
            <w:pPr>
              <w:pStyle w:val="TableContents"/>
              <w:bidi w:val="0"/>
              <w:spacing w:before="0" w:after="0"/>
              <w:jc w:val="right"/>
              <w:rPr/>
            </w:pPr>
            <w:r>
              <w:rPr/>
              <w:t>2</w:t>
            </w:r>
          </w:p>
        </w:tc>
      </w:tr>
      <w:tr>
        <w:trPr/>
        <w:tc>
          <w:tcPr>
            <w:tcW w:w="1595" w:type="dxa"/>
            <w:tcBorders/>
            <w:vAlign w:val="center"/>
          </w:tcPr>
          <w:p>
            <w:pPr>
              <w:pStyle w:val="TableContents"/>
              <w:bidi w:val="0"/>
              <w:spacing w:before="0" w:after="0"/>
              <w:jc w:val="left"/>
              <w:rPr/>
            </w:pPr>
            <w:r>
              <w:rPr/>
              <w:t>SECTION 1.02.</w:t>
            </w:r>
          </w:p>
        </w:tc>
        <w:tc>
          <w:tcPr>
            <w:tcW w:w="6560" w:type="dxa"/>
            <w:tcBorders/>
            <w:vAlign w:val="center"/>
          </w:tcPr>
          <w:p>
            <w:pPr>
              <w:pStyle w:val="TableContents"/>
              <w:bidi w:val="0"/>
              <w:spacing w:before="0" w:after="0"/>
              <w:jc w:val="left"/>
              <w:rPr/>
            </w:pPr>
            <w:r>
              <w:rPr/>
              <w:t>Closing</w:t>
            </w:r>
          </w:p>
        </w:tc>
        <w:tc>
          <w:tcPr>
            <w:tcW w:w="260" w:type="dxa"/>
            <w:tcBorders/>
            <w:vAlign w:val="center"/>
          </w:tcPr>
          <w:p>
            <w:pPr>
              <w:pStyle w:val="TableContents"/>
              <w:bidi w:val="0"/>
              <w:spacing w:before="0" w:after="0"/>
              <w:jc w:val="right"/>
              <w:rPr/>
            </w:pPr>
            <w:r>
              <w:rPr/>
              <w:t>2</w:t>
            </w:r>
          </w:p>
        </w:tc>
      </w:tr>
      <w:tr>
        <w:trPr/>
        <w:tc>
          <w:tcPr>
            <w:tcW w:w="1595" w:type="dxa"/>
            <w:tcBorders/>
            <w:shd w:fill="CCEEFF" w:val="clear"/>
            <w:vAlign w:val="center"/>
          </w:tcPr>
          <w:p>
            <w:pPr>
              <w:pStyle w:val="TableContents"/>
              <w:bidi w:val="0"/>
              <w:spacing w:before="0" w:after="0"/>
              <w:jc w:val="left"/>
              <w:rPr/>
            </w:pPr>
            <w:r>
              <w:rPr/>
              <w:t>SECTION 1.03.</w:t>
            </w:r>
          </w:p>
        </w:tc>
        <w:tc>
          <w:tcPr>
            <w:tcW w:w="6560" w:type="dxa"/>
            <w:tcBorders/>
            <w:shd w:fill="CCEEFF" w:val="clear"/>
            <w:vAlign w:val="center"/>
          </w:tcPr>
          <w:p>
            <w:pPr>
              <w:pStyle w:val="TableContents"/>
              <w:bidi w:val="0"/>
              <w:spacing w:before="0" w:after="0"/>
              <w:jc w:val="left"/>
              <w:rPr/>
            </w:pPr>
            <w:r>
              <w:rPr/>
              <w:t>Effective Time</w:t>
            </w:r>
          </w:p>
        </w:tc>
        <w:tc>
          <w:tcPr>
            <w:tcW w:w="260" w:type="dxa"/>
            <w:tcBorders/>
            <w:shd w:fill="CCEEFF" w:val="clear"/>
            <w:vAlign w:val="center"/>
          </w:tcPr>
          <w:p>
            <w:pPr>
              <w:pStyle w:val="TableContents"/>
              <w:bidi w:val="0"/>
              <w:spacing w:before="0" w:after="0"/>
              <w:jc w:val="right"/>
              <w:rPr/>
            </w:pPr>
            <w:r>
              <w:rPr/>
              <w:t>2</w:t>
            </w:r>
          </w:p>
        </w:tc>
      </w:tr>
      <w:tr>
        <w:trPr/>
        <w:tc>
          <w:tcPr>
            <w:tcW w:w="1595" w:type="dxa"/>
            <w:tcBorders/>
            <w:vAlign w:val="center"/>
          </w:tcPr>
          <w:p>
            <w:pPr>
              <w:pStyle w:val="TableContents"/>
              <w:bidi w:val="0"/>
              <w:spacing w:before="0" w:after="0"/>
              <w:jc w:val="left"/>
              <w:rPr/>
            </w:pPr>
            <w:r>
              <w:rPr/>
              <w:t>SECTION 1.04.</w:t>
            </w:r>
          </w:p>
        </w:tc>
        <w:tc>
          <w:tcPr>
            <w:tcW w:w="6560" w:type="dxa"/>
            <w:tcBorders/>
            <w:vAlign w:val="center"/>
          </w:tcPr>
          <w:p>
            <w:pPr>
              <w:pStyle w:val="TableContents"/>
              <w:bidi w:val="0"/>
              <w:spacing w:before="0" w:after="0"/>
              <w:jc w:val="left"/>
              <w:rPr/>
            </w:pPr>
            <w:r>
              <w:rPr/>
              <w:t>Effects of the Merger</w:t>
            </w:r>
          </w:p>
        </w:tc>
        <w:tc>
          <w:tcPr>
            <w:tcW w:w="260" w:type="dxa"/>
            <w:tcBorders/>
            <w:vAlign w:val="center"/>
          </w:tcPr>
          <w:p>
            <w:pPr>
              <w:pStyle w:val="TableContents"/>
              <w:bidi w:val="0"/>
              <w:spacing w:before="0" w:after="0"/>
              <w:jc w:val="right"/>
              <w:rPr/>
            </w:pPr>
            <w:r>
              <w:rPr/>
              <w:t>3</w:t>
            </w:r>
          </w:p>
        </w:tc>
      </w:tr>
      <w:tr>
        <w:trPr/>
        <w:tc>
          <w:tcPr>
            <w:tcW w:w="1595" w:type="dxa"/>
            <w:tcBorders/>
            <w:shd w:fill="CCEEFF" w:val="clear"/>
            <w:vAlign w:val="center"/>
          </w:tcPr>
          <w:p>
            <w:pPr>
              <w:pStyle w:val="TableContents"/>
              <w:bidi w:val="0"/>
              <w:spacing w:before="0" w:after="0"/>
              <w:jc w:val="left"/>
              <w:rPr/>
            </w:pPr>
            <w:r>
              <w:rPr/>
              <w:t>SECTION 1.05.</w:t>
            </w:r>
          </w:p>
        </w:tc>
        <w:tc>
          <w:tcPr>
            <w:tcW w:w="6560" w:type="dxa"/>
            <w:tcBorders/>
            <w:shd w:fill="CCEEFF" w:val="clear"/>
            <w:vAlign w:val="center"/>
          </w:tcPr>
          <w:p>
            <w:pPr>
              <w:pStyle w:val="TableContents"/>
              <w:bidi w:val="0"/>
              <w:spacing w:before="0" w:after="0"/>
              <w:jc w:val="left"/>
              <w:rPr/>
            </w:pPr>
            <w:r>
              <w:rPr/>
              <w:t>Certificate of Incorporation and Bylaws of the Surviving Corporation</w:t>
            </w:r>
          </w:p>
        </w:tc>
        <w:tc>
          <w:tcPr>
            <w:tcW w:w="260" w:type="dxa"/>
            <w:tcBorders/>
            <w:shd w:fill="CCEEFF" w:val="clear"/>
            <w:vAlign w:val="center"/>
          </w:tcPr>
          <w:p>
            <w:pPr>
              <w:pStyle w:val="TableContents"/>
              <w:bidi w:val="0"/>
              <w:spacing w:before="0" w:after="0"/>
              <w:jc w:val="right"/>
              <w:rPr/>
            </w:pPr>
            <w:r>
              <w:rPr/>
              <w:t>3</w:t>
            </w:r>
          </w:p>
        </w:tc>
      </w:tr>
      <w:tr>
        <w:trPr/>
        <w:tc>
          <w:tcPr>
            <w:tcW w:w="1595" w:type="dxa"/>
            <w:tcBorders/>
            <w:vAlign w:val="center"/>
          </w:tcPr>
          <w:p>
            <w:pPr>
              <w:pStyle w:val="TableContents"/>
              <w:bidi w:val="0"/>
              <w:spacing w:before="0" w:after="0"/>
              <w:jc w:val="left"/>
              <w:rPr/>
            </w:pPr>
            <w:r>
              <w:rPr/>
              <w:t>SECTION 1.06.</w:t>
            </w:r>
          </w:p>
        </w:tc>
        <w:tc>
          <w:tcPr>
            <w:tcW w:w="6560" w:type="dxa"/>
            <w:tcBorders/>
            <w:vAlign w:val="center"/>
          </w:tcPr>
          <w:p>
            <w:pPr>
              <w:pStyle w:val="TableContents"/>
              <w:bidi w:val="0"/>
              <w:spacing w:before="0" w:after="0"/>
              <w:jc w:val="left"/>
              <w:rPr/>
            </w:pPr>
            <w:r>
              <w:rPr/>
              <w:t>Directors and Officers of the Surviving Corporation</w:t>
            </w:r>
          </w:p>
        </w:tc>
        <w:tc>
          <w:tcPr>
            <w:tcW w:w="260" w:type="dxa"/>
            <w:tcBorders/>
            <w:vAlign w:val="center"/>
          </w:tcPr>
          <w:p>
            <w:pPr>
              <w:pStyle w:val="TableContents"/>
              <w:bidi w:val="0"/>
              <w:spacing w:before="0" w:after="0"/>
              <w:jc w:val="right"/>
              <w:rPr/>
            </w:pPr>
            <w:r>
              <w:rPr/>
              <w:t>3</w:t>
            </w:r>
          </w:p>
        </w:tc>
      </w:tr>
      <w:tr>
        <w:trPr/>
        <w:tc>
          <w:tcPr>
            <w:tcW w:w="1595" w:type="dxa"/>
            <w:tcBorders/>
            <w:shd w:fill="FFFFFF" w:val="clear"/>
            <w:vAlign w:val="center"/>
          </w:tcPr>
          <w:p>
            <w:pPr>
              <w:pStyle w:val="TableContents"/>
              <w:bidi w:val="0"/>
              <w:spacing w:before="0" w:after="283"/>
              <w:jc w:val="left"/>
              <w:rPr/>
            </w:pPr>
            <w:r>
              <w:rPr/>
              <w:t> </w:t>
            </w:r>
          </w:p>
        </w:tc>
        <w:tc>
          <w:tcPr>
            <w:tcW w:w="65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8415" w:type="dxa"/>
            <w:gridSpan w:val="3"/>
            <w:tcBorders/>
            <w:vAlign w:val="center"/>
          </w:tcPr>
          <w:p>
            <w:pPr>
              <w:pStyle w:val="TableContents"/>
              <w:bidi w:val="0"/>
              <w:spacing w:before="0" w:after="0"/>
              <w:jc w:val="center"/>
              <w:rPr/>
            </w:pPr>
            <w:r>
              <w:rPr/>
              <w:t>ARTICLE II</w:t>
            </w:r>
          </w:p>
        </w:tc>
      </w:tr>
      <w:tr>
        <w:trPr/>
        <w:tc>
          <w:tcPr>
            <w:tcW w:w="8415" w:type="dxa"/>
            <w:gridSpan w:val="3"/>
            <w:tcBorders/>
            <w:vAlign w:val="center"/>
          </w:tcPr>
          <w:p>
            <w:pPr>
              <w:pStyle w:val="TableContents"/>
              <w:bidi w:val="0"/>
              <w:spacing w:before="0" w:after="0"/>
              <w:jc w:val="center"/>
              <w:rPr/>
            </w:pPr>
            <w:r>
              <w:rPr/>
              <w:t>Effect of the Merger on Capital Stock; Exchange of Certificates;</w:t>
            </w:r>
          </w:p>
        </w:tc>
      </w:tr>
      <w:tr>
        <w:trPr/>
        <w:tc>
          <w:tcPr>
            <w:tcW w:w="8415" w:type="dxa"/>
            <w:gridSpan w:val="3"/>
            <w:tcBorders/>
            <w:vAlign w:val="center"/>
          </w:tcPr>
          <w:p>
            <w:pPr>
              <w:pStyle w:val="TableContents"/>
              <w:bidi w:val="0"/>
              <w:spacing w:before="0" w:after="0"/>
              <w:jc w:val="center"/>
              <w:rPr/>
            </w:pPr>
            <w:r>
              <w:rPr/>
              <w:t>Equity-Based Incentive Awards; Company Warrants</w:t>
            </w:r>
          </w:p>
        </w:tc>
      </w:tr>
      <w:tr>
        <w:trPr/>
        <w:tc>
          <w:tcPr>
            <w:tcW w:w="1595"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jc w:val="left"/>
              <w:rPr/>
            </w:pPr>
            <w:r>
              <w:rPr/>
              <w:t>SECTION 2.01.</w:t>
            </w:r>
          </w:p>
        </w:tc>
        <w:tc>
          <w:tcPr>
            <w:tcW w:w="6560" w:type="dxa"/>
            <w:tcBorders/>
            <w:shd w:fill="CCEEFF" w:val="clear"/>
            <w:vAlign w:val="center"/>
          </w:tcPr>
          <w:p>
            <w:pPr>
              <w:pStyle w:val="TableContents"/>
              <w:bidi w:val="0"/>
              <w:spacing w:before="0" w:after="0"/>
              <w:jc w:val="left"/>
              <w:rPr/>
            </w:pPr>
            <w:r>
              <w:rPr/>
              <w:t>Effect on Capital Stock</w:t>
            </w:r>
          </w:p>
        </w:tc>
        <w:tc>
          <w:tcPr>
            <w:tcW w:w="260" w:type="dxa"/>
            <w:tcBorders/>
            <w:shd w:fill="CCEEFF" w:val="clear"/>
            <w:vAlign w:val="center"/>
          </w:tcPr>
          <w:p>
            <w:pPr>
              <w:pStyle w:val="TableContents"/>
              <w:bidi w:val="0"/>
              <w:spacing w:before="0" w:after="0"/>
              <w:jc w:val="right"/>
              <w:rPr/>
            </w:pPr>
            <w:r>
              <w:rPr/>
              <w:t>4</w:t>
            </w:r>
          </w:p>
        </w:tc>
      </w:tr>
      <w:tr>
        <w:trPr/>
        <w:tc>
          <w:tcPr>
            <w:tcW w:w="1595" w:type="dxa"/>
            <w:tcBorders/>
            <w:vAlign w:val="center"/>
          </w:tcPr>
          <w:p>
            <w:pPr>
              <w:pStyle w:val="TableContents"/>
              <w:bidi w:val="0"/>
              <w:spacing w:before="0" w:after="0"/>
              <w:jc w:val="left"/>
              <w:rPr/>
            </w:pPr>
            <w:r>
              <w:rPr/>
              <w:t>SECTION 2.02.</w:t>
            </w:r>
          </w:p>
        </w:tc>
        <w:tc>
          <w:tcPr>
            <w:tcW w:w="6560" w:type="dxa"/>
            <w:tcBorders/>
            <w:vAlign w:val="center"/>
          </w:tcPr>
          <w:p>
            <w:pPr>
              <w:pStyle w:val="TableContents"/>
              <w:bidi w:val="0"/>
              <w:spacing w:before="0" w:after="0"/>
              <w:jc w:val="left"/>
              <w:rPr/>
            </w:pPr>
            <w:r>
              <w:rPr/>
              <w:t>Exchange Matters</w:t>
            </w:r>
          </w:p>
        </w:tc>
        <w:tc>
          <w:tcPr>
            <w:tcW w:w="260" w:type="dxa"/>
            <w:tcBorders/>
            <w:vAlign w:val="center"/>
          </w:tcPr>
          <w:p>
            <w:pPr>
              <w:pStyle w:val="TableContents"/>
              <w:bidi w:val="0"/>
              <w:spacing w:before="0" w:after="0"/>
              <w:jc w:val="right"/>
              <w:rPr/>
            </w:pPr>
            <w:r>
              <w:rPr/>
              <w:t>4</w:t>
            </w:r>
          </w:p>
        </w:tc>
      </w:tr>
      <w:tr>
        <w:trPr/>
        <w:tc>
          <w:tcPr>
            <w:tcW w:w="1595" w:type="dxa"/>
            <w:tcBorders/>
            <w:shd w:fill="CCEEFF" w:val="clear"/>
            <w:vAlign w:val="center"/>
          </w:tcPr>
          <w:p>
            <w:pPr>
              <w:pStyle w:val="TableContents"/>
              <w:bidi w:val="0"/>
              <w:spacing w:before="0" w:after="0"/>
              <w:jc w:val="left"/>
              <w:rPr/>
            </w:pPr>
            <w:r>
              <w:rPr/>
              <w:t>SECTION 2.03.</w:t>
            </w:r>
          </w:p>
        </w:tc>
        <w:tc>
          <w:tcPr>
            <w:tcW w:w="6560" w:type="dxa"/>
            <w:tcBorders/>
            <w:shd w:fill="CCEEFF" w:val="clear"/>
            <w:vAlign w:val="center"/>
          </w:tcPr>
          <w:p>
            <w:pPr>
              <w:pStyle w:val="TableContents"/>
              <w:bidi w:val="0"/>
              <w:spacing w:before="0" w:after="0"/>
              <w:jc w:val="left"/>
              <w:rPr/>
            </w:pPr>
            <w:r>
              <w:rPr/>
              <w:t>Treatment of Equity-Based Incentive Awards</w:t>
            </w:r>
          </w:p>
        </w:tc>
        <w:tc>
          <w:tcPr>
            <w:tcW w:w="260" w:type="dxa"/>
            <w:tcBorders/>
            <w:shd w:fill="CCEEFF" w:val="clear"/>
            <w:vAlign w:val="center"/>
          </w:tcPr>
          <w:p>
            <w:pPr>
              <w:pStyle w:val="TableContents"/>
              <w:bidi w:val="0"/>
              <w:spacing w:before="0" w:after="0"/>
              <w:jc w:val="right"/>
              <w:rPr/>
            </w:pPr>
            <w:r>
              <w:rPr/>
              <w:t>8</w:t>
            </w:r>
          </w:p>
        </w:tc>
      </w:tr>
      <w:tr>
        <w:trPr/>
        <w:tc>
          <w:tcPr>
            <w:tcW w:w="1595" w:type="dxa"/>
            <w:tcBorders/>
            <w:vAlign w:val="center"/>
          </w:tcPr>
          <w:p>
            <w:pPr>
              <w:pStyle w:val="TableContents"/>
              <w:bidi w:val="0"/>
              <w:spacing w:before="0" w:after="0"/>
              <w:jc w:val="left"/>
              <w:rPr/>
            </w:pPr>
            <w:r>
              <w:rPr/>
              <w:t>SECTION 2.04.</w:t>
            </w:r>
          </w:p>
        </w:tc>
        <w:tc>
          <w:tcPr>
            <w:tcW w:w="6560" w:type="dxa"/>
            <w:tcBorders/>
            <w:vAlign w:val="center"/>
          </w:tcPr>
          <w:p>
            <w:pPr>
              <w:pStyle w:val="TableContents"/>
              <w:bidi w:val="0"/>
              <w:spacing w:before="0" w:after="0"/>
              <w:jc w:val="left"/>
              <w:rPr/>
            </w:pPr>
            <w:r>
              <w:rPr/>
              <w:t>Payments with Respect to Equity-Based Incentive Awards</w:t>
            </w:r>
          </w:p>
        </w:tc>
        <w:tc>
          <w:tcPr>
            <w:tcW w:w="260" w:type="dxa"/>
            <w:tcBorders/>
            <w:vAlign w:val="center"/>
          </w:tcPr>
          <w:p>
            <w:pPr>
              <w:pStyle w:val="TableContents"/>
              <w:bidi w:val="0"/>
              <w:spacing w:before="0" w:after="0"/>
              <w:jc w:val="right"/>
              <w:rPr/>
            </w:pPr>
            <w:r>
              <w:rPr/>
              <w:t>9</w:t>
            </w:r>
          </w:p>
        </w:tc>
      </w:tr>
      <w:tr>
        <w:trPr/>
        <w:tc>
          <w:tcPr>
            <w:tcW w:w="1595" w:type="dxa"/>
            <w:tcBorders/>
            <w:shd w:fill="CCEEFF" w:val="clear"/>
            <w:vAlign w:val="center"/>
          </w:tcPr>
          <w:p>
            <w:pPr>
              <w:pStyle w:val="TableContents"/>
              <w:bidi w:val="0"/>
              <w:spacing w:before="0" w:after="0"/>
              <w:jc w:val="left"/>
              <w:rPr/>
            </w:pPr>
            <w:r>
              <w:rPr/>
              <w:t>SECTION 2.05.</w:t>
            </w:r>
          </w:p>
        </w:tc>
        <w:tc>
          <w:tcPr>
            <w:tcW w:w="6560" w:type="dxa"/>
            <w:tcBorders/>
            <w:shd w:fill="CCEEFF" w:val="clear"/>
            <w:vAlign w:val="center"/>
          </w:tcPr>
          <w:p>
            <w:pPr>
              <w:pStyle w:val="TableContents"/>
              <w:bidi w:val="0"/>
              <w:spacing w:before="0" w:after="0"/>
              <w:jc w:val="left"/>
              <w:rPr/>
            </w:pPr>
            <w:r>
              <w:rPr/>
              <w:t>Company ESPP</w:t>
            </w:r>
          </w:p>
        </w:tc>
        <w:tc>
          <w:tcPr>
            <w:tcW w:w="260" w:type="dxa"/>
            <w:tcBorders/>
            <w:shd w:fill="CCEEFF" w:val="clear"/>
            <w:vAlign w:val="center"/>
          </w:tcPr>
          <w:p>
            <w:pPr>
              <w:pStyle w:val="TableContents"/>
              <w:bidi w:val="0"/>
              <w:spacing w:before="0" w:after="0"/>
              <w:jc w:val="right"/>
              <w:rPr/>
            </w:pPr>
            <w:r>
              <w:rPr/>
              <w:t>9</w:t>
            </w:r>
          </w:p>
        </w:tc>
      </w:tr>
      <w:tr>
        <w:trPr/>
        <w:tc>
          <w:tcPr>
            <w:tcW w:w="1595" w:type="dxa"/>
            <w:tcBorders/>
            <w:vAlign w:val="center"/>
          </w:tcPr>
          <w:p>
            <w:pPr>
              <w:pStyle w:val="TableContents"/>
              <w:bidi w:val="0"/>
              <w:spacing w:before="0" w:after="0"/>
              <w:jc w:val="left"/>
              <w:rPr/>
            </w:pPr>
            <w:r>
              <w:rPr/>
              <w:t>SECTION 2.06.</w:t>
            </w:r>
          </w:p>
        </w:tc>
        <w:tc>
          <w:tcPr>
            <w:tcW w:w="6560" w:type="dxa"/>
            <w:tcBorders/>
            <w:vAlign w:val="center"/>
          </w:tcPr>
          <w:p>
            <w:pPr>
              <w:pStyle w:val="TableContents"/>
              <w:bidi w:val="0"/>
              <w:spacing w:before="0" w:after="0"/>
              <w:jc w:val="left"/>
              <w:rPr/>
            </w:pPr>
            <w:r>
              <w:rPr/>
              <w:t>Treatment of Company Warrants</w:t>
            </w:r>
          </w:p>
        </w:tc>
        <w:tc>
          <w:tcPr>
            <w:tcW w:w="260" w:type="dxa"/>
            <w:tcBorders/>
            <w:vAlign w:val="center"/>
          </w:tcPr>
          <w:p>
            <w:pPr>
              <w:pStyle w:val="TableContents"/>
              <w:bidi w:val="0"/>
              <w:spacing w:before="0" w:after="0"/>
              <w:jc w:val="right"/>
              <w:rPr/>
            </w:pPr>
            <w:r>
              <w:rPr/>
              <w:t>9</w:t>
            </w:r>
          </w:p>
        </w:tc>
      </w:tr>
      <w:tr>
        <w:trPr/>
        <w:tc>
          <w:tcPr>
            <w:tcW w:w="1595" w:type="dxa"/>
            <w:tcBorders/>
            <w:shd w:fill="CCEEFF" w:val="clear"/>
            <w:vAlign w:val="center"/>
          </w:tcPr>
          <w:p>
            <w:pPr>
              <w:pStyle w:val="TableContents"/>
              <w:bidi w:val="0"/>
              <w:spacing w:before="0" w:after="0"/>
              <w:jc w:val="left"/>
              <w:rPr/>
            </w:pPr>
            <w:r>
              <w:rPr/>
              <w:t>SECTION 2.07.</w:t>
            </w:r>
          </w:p>
        </w:tc>
        <w:tc>
          <w:tcPr>
            <w:tcW w:w="6560" w:type="dxa"/>
            <w:tcBorders/>
            <w:shd w:fill="CCEEFF" w:val="clear"/>
            <w:vAlign w:val="center"/>
          </w:tcPr>
          <w:p>
            <w:pPr>
              <w:pStyle w:val="TableContents"/>
              <w:bidi w:val="0"/>
              <w:spacing w:before="0" w:after="0"/>
              <w:jc w:val="left"/>
              <w:rPr/>
            </w:pPr>
            <w:r>
              <w:rPr/>
              <w:t>Adjustments</w:t>
            </w:r>
          </w:p>
        </w:tc>
        <w:tc>
          <w:tcPr>
            <w:tcW w:w="260" w:type="dxa"/>
            <w:tcBorders/>
            <w:shd w:fill="CCEEFF" w:val="clear"/>
            <w:vAlign w:val="center"/>
          </w:tcPr>
          <w:p>
            <w:pPr>
              <w:pStyle w:val="TableContents"/>
              <w:bidi w:val="0"/>
              <w:spacing w:before="0" w:after="0"/>
              <w:jc w:val="right"/>
              <w:rPr/>
            </w:pPr>
            <w:r>
              <w:rPr/>
              <w:t>10</w:t>
            </w:r>
          </w:p>
        </w:tc>
      </w:tr>
      <w:tr>
        <w:trPr/>
        <w:tc>
          <w:tcPr>
            <w:tcW w:w="1595" w:type="dxa"/>
            <w:tcBorders/>
            <w:vAlign w:val="center"/>
          </w:tcPr>
          <w:p>
            <w:pPr>
              <w:pStyle w:val="TableContents"/>
              <w:bidi w:val="0"/>
              <w:spacing w:before="0" w:after="0"/>
              <w:jc w:val="left"/>
              <w:rPr/>
            </w:pPr>
            <w:r>
              <w:rPr/>
              <w:t>SECTION 2.08.</w:t>
            </w:r>
          </w:p>
        </w:tc>
        <w:tc>
          <w:tcPr>
            <w:tcW w:w="6560" w:type="dxa"/>
            <w:tcBorders/>
            <w:vAlign w:val="center"/>
          </w:tcPr>
          <w:p>
            <w:pPr>
              <w:pStyle w:val="TableContents"/>
              <w:bidi w:val="0"/>
              <w:spacing w:before="0" w:after="0"/>
              <w:jc w:val="left"/>
              <w:rPr/>
            </w:pPr>
            <w:r>
              <w:rPr/>
              <w:t>Appraisal Rights</w:t>
            </w:r>
          </w:p>
        </w:tc>
        <w:tc>
          <w:tcPr>
            <w:tcW w:w="260" w:type="dxa"/>
            <w:tcBorders/>
            <w:vAlign w:val="center"/>
          </w:tcPr>
          <w:p>
            <w:pPr>
              <w:pStyle w:val="TableContents"/>
              <w:bidi w:val="0"/>
              <w:spacing w:before="0" w:after="0"/>
              <w:jc w:val="right"/>
              <w:rPr/>
            </w:pPr>
            <w:r>
              <w:rPr/>
              <w:t>10</w:t>
            </w:r>
          </w:p>
        </w:tc>
      </w:tr>
      <w:tr>
        <w:trPr/>
        <w:tc>
          <w:tcPr>
            <w:tcW w:w="1595" w:type="dxa"/>
            <w:tcBorders/>
            <w:shd w:fill="CCEEFF" w:val="clear"/>
            <w:vAlign w:val="center"/>
          </w:tcPr>
          <w:p>
            <w:pPr>
              <w:pStyle w:val="TableContents"/>
              <w:bidi w:val="0"/>
              <w:spacing w:before="0" w:after="0"/>
              <w:jc w:val="left"/>
              <w:rPr/>
            </w:pPr>
            <w:r>
              <w:rPr/>
              <w:t>SECTION 2.09.</w:t>
            </w:r>
          </w:p>
        </w:tc>
        <w:tc>
          <w:tcPr>
            <w:tcW w:w="6560" w:type="dxa"/>
            <w:tcBorders/>
            <w:shd w:fill="CCEEFF" w:val="clear"/>
            <w:vAlign w:val="center"/>
          </w:tcPr>
          <w:p>
            <w:pPr>
              <w:pStyle w:val="TableContents"/>
              <w:bidi w:val="0"/>
              <w:spacing w:before="0" w:after="0"/>
              <w:jc w:val="left"/>
              <w:rPr/>
            </w:pPr>
            <w:r>
              <w:rPr/>
              <w:t>Parent Actions</w:t>
            </w:r>
          </w:p>
        </w:tc>
        <w:tc>
          <w:tcPr>
            <w:tcW w:w="260" w:type="dxa"/>
            <w:tcBorders/>
            <w:shd w:fill="CCEEFF" w:val="clear"/>
            <w:vAlign w:val="center"/>
          </w:tcPr>
          <w:p>
            <w:pPr>
              <w:pStyle w:val="TableContents"/>
              <w:bidi w:val="0"/>
              <w:spacing w:before="0" w:after="0"/>
              <w:jc w:val="right"/>
              <w:rPr/>
            </w:pPr>
            <w:r>
              <w:rPr/>
              <w:t>11</w:t>
            </w:r>
          </w:p>
        </w:tc>
      </w:tr>
      <w:tr>
        <w:trPr/>
        <w:tc>
          <w:tcPr>
            <w:tcW w:w="1595"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r>
      <w:tr>
        <w:trPr/>
        <w:tc>
          <w:tcPr>
            <w:tcW w:w="8415" w:type="dxa"/>
            <w:gridSpan w:val="3"/>
            <w:tcBorders/>
            <w:vAlign w:val="center"/>
          </w:tcPr>
          <w:p>
            <w:pPr>
              <w:pStyle w:val="TableContents"/>
              <w:bidi w:val="0"/>
              <w:spacing w:before="0" w:after="0"/>
              <w:jc w:val="center"/>
              <w:rPr/>
            </w:pPr>
            <w:r>
              <w:rPr/>
              <w:t>ARTICLE III</w:t>
            </w:r>
          </w:p>
        </w:tc>
      </w:tr>
      <w:tr>
        <w:trPr/>
        <w:tc>
          <w:tcPr>
            <w:tcW w:w="8415" w:type="dxa"/>
            <w:gridSpan w:val="3"/>
            <w:tcBorders/>
            <w:vAlign w:val="center"/>
          </w:tcPr>
          <w:p>
            <w:pPr>
              <w:pStyle w:val="TableContents"/>
              <w:bidi w:val="0"/>
              <w:spacing w:before="0" w:after="0"/>
              <w:jc w:val="center"/>
              <w:rPr/>
            </w:pPr>
            <w:r>
              <w:rPr/>
              <w:t>Representations and Warranties of the Company</w:t>
            </w:r>
          </w:p>
        </w:tc>
      </w:tr>
      <w:tr>
        <w:trPr/>
        <w:tc>
          <w:tcPr>
            <w:tcW w:w="1595"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jc w:val="left"/>
              <w:rPr/>
            </w:pPr>
            <w:r>
              <w:rPr/>
              <w:t>SECTION 3.01.</w:t>
            </w:r>
          </w:p>
        </w:tc>
        <w:tc>
          <w:tcPr>
            <w:tcW w:w="6560" w:type="dxa"/>
            <w:tcBorders/>
            <w:shd w:fill="CCEEFF" w:val="clear"/>
            <w:vAlign w:val="center"/>
          </w:tcPr>
          <w:p>
            <w:pPr>
              <w:pStyle w:val="TableContents"/>
              <w:bidi w:val="0"/>
              <w:spacing w:before="0" w:after="0"/>
              <w:jc w:val="left"/>
              <w:rPr/>
            </w:pPr>
            <w:r>
              <w:rPr/>
              <w:t>Organization; Standing</w:t>
            </w:r>
          </w:p>
        </w:tc>
        <w:tc>
          <w:tcPr>
            <w:tcW w:w="260" w:type="dxa"/>
            <w:tcBorders/>
            <w:shd w:fill="CCEEFF" w:val="clear"/>
            <w:vAlign w:val="center"/>
          </w:tcPr>
          <w:p>
            <w:pPr>
              <w:pStyle w:val="TableContents"/>
              <w:bidi w:val="0"/>
              <w:spacing w:before="0" w:after="0"/>
              <w:jc w:val="right"/>
              <w:rPr/>
            </w:pPr>
            <w:r>
              <w:rPr/>
              <w:t>11</w:t>
            </w:r>
          </w:p>
        </w:tc>
      </w:tr>
      <w:tr>
        <w:trPr/>
        <w:tc>
          <w:tcPr>
            <w:tcW w:w="1595" w:type="dxa"/>
            <w:tcBorders/>
            <w:vAlign w:val="center"/>
          </w:tcPr>
          <w:p>
            <w:pPr>
              <w:pStyle w:val="TableContents"/>
              <w:bidi w:val="0"/>
              <w:spacing w:before="0" w:after="0"/>
              <w:jc w:val="left"/>
              <w:rPr/>
            </w:pPr>
            <w:r>
              <w:rPr/>
              <w:t>SECTION 3.02.</w:t>
            </w:r>
          </w:p>
        </w:tc>
        <w:tc>
          <w:tcPr>
            <w:tcW w:w="6560" w:type="dxa"/>
            <w:tcBorders/>
            <w:vAlign w:val="center"/>
          </w:tcPr>
          <w:p>
            <w:pPr>
              <w:pStyle w:val="TableContents"/>
              <w:bidi w:val="0"/>
              <w:spacing w:before="0" w:after="0"/>
              <w:jc w:val="left"/>
              <w:rPr/>
            </w:pPr>
            <w:r>
              <w:rPr/>
              <w:t>Capitalization</w:t>
            </w:r>
          </w:p>
        </w:tc>
        <w:tc>
          <w:tcPr>
            <w:tcW w:w="260" w:type="dxa"/>
            <w:tcBorders/>
            <w:vAlign w:val="center"/>
          </w:tcPr>
          <w:p>
            <w:pPr>
              <w:pStyle w:val="TableContents"/>
              <w:bidi w:val="0"/>
              <w:spacing w:before="0" w:after="0"/>
              <w:jc w:val="right"/>
              <w:rPr/>
            </w:pPr>
            <w:r>
              <w:rPr/>
              <w:t>12</w:t>
            </w:r>
          </w:p>
        </w:tc>
      </w:tr>
      <w:tr>
        <w:trPr/>
        <w:tc>
          <w:tcPr>
            <w:tcW w:w="1595" w:type="dxa"/>
            <w:tcBorders/>
            <w:shd w:fill="CCEEFF" w:val="clear"/>
            <w:vAlign w:val="center"/>
          </w:tcPr>
          <w:p>
            <w:pPr>
              <w:pStyle w:val="TableContents"/>
              <w:bidi w:val="0"/>
              <w:spacing w:before="0" w:after="0"/>
              <w:jc w:val="left"/>
              <w:rPr/>
            </w:pPr>
            <w:r>
              <w:rPr/>
              <w:t>SECTION 3.03.</w:t>
            </w:r>
          </w:p>
        </w:tc>
        <w:tc>
          <w:tcPr>
            <w:tcW w:w="6560" w:type="dxa"/>
            <w:tcBorders/>
            <w:shd w:fill="CCEEFF" w:val="clear"/>
            <w:vAlign w:val="center"/>
          </w:tcPr>
          <w:p>
            <w:pPr>
              <w:pStyle w:val="TableContents"/>
              <w:bidi w:val="0"/>
              <w:spacing w:before="0" w:after="0"/>
              <w:jc w:val="left"/>
              <w:rPr/>
            </w:pPr>
            <w:r>
              <w:rPr/>
              <w:t>Authority; Noncontravention</w:t>
            </w:r>
          </w:p>
        </w:tc>
        <w:tc>
          <w:tcPr>
            <w:tcW w:w="260" w:type="dxa"/>
            <w:tcBorders/>
            <w:shd w:fill="CCEEFF" w:val="clear"/>
            <w:vAlign w:val="center"/>
          </w:tcPr>
          <w:p>
            <w:pPr>
              <w:pStyle w:val="TableContents"/>
              <w:bidi w:val="0"/>
              <w:spacing w:before="0" w:after="0"/>
              <w:jc w:val="right"/>
              <w:rPr/>
            </w:pPr>
            <w:r>
              <w:rPr/>
              <w:t>14</w:t>
            </w:r>
          </w:p>
        </w:tc>
      </w:tr>
      <w:tr>
        <w:trPr/>
        <w:tc>
          <w:tcPr>
            <w:tcW w:w="1595" w:type="dxa"/>
            <w:tcBorders/>
            <w:vAlign w:val="center"/>
          </w:tcPr>
          <w:p>
            <w:pPr>
              <w:pStyle w:val="TableContents"/>
              <w:bidi w:val="0"/>
              <w:spacing w:before="0" w:after="0"/>
              <w:jc w:val="left"/>
              <w:rPr/>
            </w:pPr>
            <w:r>
              <w:rPr/>
              <w:t>SECTION 3.04.</w:t>
            </w:r>
          </w:p>
        </w:tc>
        <w:tc>
          <w:tcPr>
            <w:tcW w:w="6560" w:type="dxa"/>
            <w:tcBorders/>
            <w:vAlign w:val="center"/>
          </w:tcPr>
          <w:p>
            <w:pPr>
              <w:pStyle w:val="TableContents"/>
              <w:bidi w:val="0"/>
              <w:spacing w:before="0" w:after="0"/>
              <w:jc w:val="left"/>
              <w:rPr/>
            </w:pPr>
            <w:r>
              <w:rPr/>
              <w:t>Governmental Approvals</w:t>
            </w:r>
          </w:p>
        </w:tc>
        <w:tc>
          <w:tcPr>
            <w:tcW w:w="260" w:type="dxa"/>
            <w:tcBorders/>
            <w:vAlign w:val="center"/>
          </w:tcPr>
          <w:p>
            <w:pPr>
              <w:pStyle w:val="TableContents"/>
              <w:bidi w:val="0"/>
              <w:spacing w:before="0" w:after="0"/>
              <w:jc w:val="right"/>
              <w:rPr/>
            </w:pPr>
            <w:r>
              <w:rPr/>
              <w:t>16</w:t>
            </w:r>
          </w:p>
        </w:tc>
      </w:tr>
      <w:tr>
        <w:trPr/>
        <w:tc>
          <w:tcPr>
            <w:tcW w:w="1595" w:type="dxa"/>
            <w:tcBorders/>
            <w:shd w:fill="CCEEFF" w:val="clear"/>
            <w:vAlign w:val="center"/>
          </w:tcPr>
          <w:p>
            <w:pPr>
              <w:pStyle w:val="TableContents"/>
              <w:bidi w:val="0"/>
              <w:spacing w:before="0" w:after="0"/>
              <w:jc w:val="left"/>
              <w:rPr/>
            </w:pPr>
            <w:r>
              <w:rPr/>
              <w:t>SECTION 3.05.</w:t>
            </w:r>
          </w:p>
        </w:tc>
        <w:tc>
          <w:tcPr>
            <w:tcW w:w="6560" w:type="dxa"/>
            <w:tcBorders/>
            <w:shd w:fill="CCEEFF" w:val="clear"/>
            <w:vAlign w:val="center"/>
          </w:tcPr>
          <w:p>
            <w:pPr>
              <w:pStyle w:val="TableContents"/>
              <w:bidi w:val="0"/>
              <w:spacing w:before="0" w:after="0"/>
              <w:jc w:val="left"/>
              <w:rPr/>
            </w:pPr>
            <w:r>
              <w:rPr/>
              <w:t>Company SEC Documents; Undisclosed Liabilities</w:t>
            </w:r>
          </w:p>
        </w:tc>
        <w:tc>
          <w:tcPr>
            <w:tcW w:w="260" w:type="dxa"/>
            <w:tcBorders/>
            <w:shd w:fill="CCEEFF" w:val="clear"/>
            <w:vAlign w:val="center"/>
          </w:tcPr>
          <w:p>
            <w:pPr>
              <w:pStyle w:val="TableContents"/>
              <w:bidi w:val="0"/>
              <w:spacing w:before="0" w:after="0"/>
              <w:jc w:val="right"/>
              <w:rPr/>
            </w:pPr>
            <w:r>
              <w:rPr/>
              <w:t>16</w:t>
            </w:r>
          </w:p>
        </w:tc>
      </w:tr>
      <w:tr>
        <w:trPr/>
        <w:tc>
          <w:tcPr>
            <w:tcW w:w="1595" w:type="dxa"/>
            <w:tcBorders/>
            <w:vAlign w:val="center"/>
          </w:tcPr>
          <w:p>
            <w:pPr>
              <w:pStyle w:val="TableContents"/>
              <w:bidi w:val="0"/>
              <w:spacing w:before="0" w:after="0"/>
              <w:jc w:val="left"/>
              <w:rPr/>
            </w:pPr>
            <w:r>
              <w:rPr/>
              <w:t>SECTION 3.06.</w:t>
            </w:r>
          </w:p>
        </w:tc>
        <w:tc>
          <w:tcPr>
            <w:tcW w:w="6560" w:type="dxa"/>
            <w:tcBorders/>
            <w:vAlign w:val="center"/>
          </w:tcPr>
          <w:p>
            <w:pPr>
              <w:pStyle w:val="TableContents"/>
              <w:bidi w:val="0"/>
              <w:spacing w:before="0" w:after="0"/>
              <w:jc w:val="left"/>
              <w:rPr/>
            </w:pPr>
            <w:r>
              <w:rPr/>
              <w:t>Absence of Certain Changes</w:t>
            </w:r>
          </w:p>
        </w:tc>
        <w:tc>
          <w:tcPr>
            <w:tcW w:w="260" w:type="dxa"/>
            <w:tcBorders/>
            <w:vAlign w:val="center"/>
          </w:tcPr>
          <w:p>
            <w:pPr>
              <w:pStyle w:val="TableContents"/>
              <w:bidi w:val="0"/>
              <w:spacing w:before="0" w:after="0"/>
              <w:jc w:val="right"/>
              <w:rPr/>
            </w:pPr>
            <w:r>
              <w:rPr/>
              <w:t>18</w:t>
            </w:r>
          </w:p>
        </w:tc>
      </w:tr>
      <w:tr>
        <w:trPr/>
        <w:tc>
          <w:tcPr>
            <w:tcW w:w="1595" w:type="dxa"/>
            <w:tcBorders/>
            <w:shd w:fill="CCEEFF" w:val="clear"/>
            <w:vAlign w:val="center"/>
          </w:tcPr>
          <w:p>
            <w:pPr>
              <w:pStyle w:val="TableContents"/>
              <w:bidi w:val="0"/>
              <w:spacing w:before="0" w:after="0"/>
              <w:jc w:val="left"/>
              <w:rPr/>
            </w:pPr>
            <w:r>
              <w:rPr/>
              <w:t>SECTION 3.07.</w:t>
            </w:r>
          </w:p>
        </w:tc>
        <w:tc>
          <w:tcPr>
            <w:tcW w:w="6560" w:type="dxa"/>
            <w:tcBorders/>
            <w:shd w:fill="CCEEFF" w:val="clear"/>
            <w:vAlign w:val="center"/>
          </w:tcPr>
          <w:p>
            <w:pPr>
              <w:pStyle w:val="TableContents"/>
              <w:bidi w:val="0"/>
              <w:spacing w:before="0" w:after="0"/>
              <w:jc w:val="left"/>
              <w:rPr/>
            </w:pPr>
            <w:r>
              <w:rPr/>
              <w:t>Legal Proceedings</w:t>
            </w:r>
          </w:p>
        </w:tc>
        <w:tc>
          <w:tcPr>
            <w:tcW w:w="260" w:type="dxa"/>
            <w:tcBorders/>
            <w:shd w:fill="CCEEFF" w:val="clear"/>
            <w:vAlign w:val="center"/>
          </w:tcPr>
          <w:p>
            <w:pPr>
              <w:pStyle w:val="TableContents"/>
              <w:bidi w:val="0"/>
              <w:spacing w:before="0" w:after="0"/>
              <w:jc w:val="right"/>
              <w:rPr/>
            </w:pPr>
            <w:r>
              <w:rPr/>
              <w:t>18</w:t>
            </w:r>
          </w:p>
        </w:tc>
      </w:tr>
      <w:tr>
        <w:trPr/>
        <w:tc>
          <w:tcPr>
            <w:tcW w:w="1595" w:type="dxa"/>
            <w:tcBorders/>
            <w:vAlign w:val="center"/>
          </w:tcPr>
          <w:p>
            <w:pPr>
              <w:pStyle w:val="TableContents"/>
              <w:bidi w:val="0"/>
              <w:spacing w:before="0" w:after="0"/>
              <w:jc w:val="left"/>
              <w:rPr/>
            </w:pPr>
            <w:r>
              <w:rPr/>
              <w:t>SECTION 3.08.</w:t>
            </w:r>
          </w:p>
        </w:tc>
        <w:tc>
          <w:tcPr>
            <w:tcW w:w="6560" w:type="dxa"/>
            <w:tcBorders/>
            <w:vAlign w:val="center"/>
          </w:tcPr>
          <w:p>
            <w:pPr>
              <w:pStyle w:val="TableContents"/>
              <w:bidi w:val="0"/>
              <w:spacing w:before="0" w:after="0"/>
              <w:jc w:val="left"/>
              <w:rPr/>
            </w:pPr>
            <w:r>
              <w:rPr/>
              <w:t>Compliance with Laws; Permits</w:t>
            </w:r>
          </w:p>
        </w:tc>
        <w:tc>
          <w:tcPr>
            <w:tcW w:w="260" w:type="dxa"/>
            <w:tcBorders/>
            <w:vAlign w:val="center"/>
          </w:tcPr>
          <w:p>
            <w:pPr>
              <w:pStyle w:val="TableContents"/>
              <w:bidi w:val="0"/>
              <w:spacing w:before="0" w:after="0"/>
              <w:jc w:val="right"/>
              <w:rPr/>
            </w:pPr>
            <w:r>
              <w:rPr/>
              <w:t>19</w:t>
            </w:r>
          </w:p>
        </w:tc>
      </w:tr>
      <w:tr>
        <w:trPr/>
        <w:tc>
          <w:tcPr>
            <w:tcW w:w="1595" w:type="dxa"/>
            <w:tcBorders/>
            <w:shd w:fill="CCEEFF" w:val="clear"/>
            <w:vAlign w:val="center"/>
          </w:tcPr>
          <w:p>
            <w:pPr>
              <w:pStyle w:val="TableContents"/>
              <w:bidi w:val="0"/>
              <w:spacing w:before="0" w:after="0"/>
              <w:jc w:val="left"/>
              <w:rPr/>
            </w:pPr>
            <w:r>
              <w:rPr/>
              <w:t>SECTION 3.09.</w:t>
            </w:r>
          </w:p>
        </w:tc>
        <w:tc>
          <w:tcPr>
            <w:tcW w:w="6560" w:type="dxa"/>
            <w:tcBorders/>
            <w:shd w:fill="CCEEFF" w:val="clear"/>
            <w:vAlign w:val="center"/>
          </w:tcPr>
          <w:p>
            <w:pPr>
              <w:pStyle w:val="TableContents"/>
              <w:bidi w:val="0"/>
              <w:spacing w:before="0" w:after="0"/>
              <w:jc w:val="left"/>
              <w:rPr/>
            </w:pPr>
            <w:r>
              <w:rPr/>
              <w:t>Tax Matters</w:t>
            </w:r>
          </w:p>
        </w:tc>
        <w:tc>
          <w:tcPr>
            <w:tcW w:w="260" w:type="dxa"/>
            <w:tcBorders/>
            <w:shd w:fill="CCEEFF" w:val="clear"/>
            <w:vAlign w:val="center"/>
          </w:tcPr>
          <w:p>
            <w:pPr>
              <w:pStyle w:val="TableContents"/>
              <w:bidi w:val="0"/>
              <w:spacing w:before="0" w:after="0"/>
              <w:jc w:val="right"/>
              <w:rPr/>
            </w:pPr>
            <w:r>
              <w:rPr/>
              <w:t>20</w:t>
            </w:r>
          </w:p>
        </w:tc>
      </w:tr>
      <w:tr>
        <w:trPr/>
        <w:tc>
          <w:tcPr>
            <w:tcW w:w="1595" w:type="dxa"/>
            <w:tcBorders/>
            <w:vAlign w:val="center"/>
          </w:tcPr>
          <w:p>
            <w:pPr>
              <w:pStyle w:val="TableContents"/>
              <w:bidi w:val="0"/>
              <w:spacing w:before="0" w:after="0"/>
              <w:jc w:val="left"/>
              <w:rPr/>
            </w:pPr>
            <w:r>
              <w:rPr/>
              <w:t>SECTION 3.10.</w:t>
            </w:r>
          </w:p>
        </w:tc>
        <w:tc>
          <w:tcPr>
            <w:tcW w:w="6560" w:type="dxa"/>
            <w:tcBorders/>
            <w:vAlign w:val="center"/>
          </w:tcPr>
          <w:p>
            <w:pPr>
              <w:pStyle w:val="TableContents"/>
              <w:bidi w:val="0"/>
              <w:spacing w:before="0" w:after="0"/>
              <w:jc w:val="left"/>
              <w:rPr/>
            </w:pPr>
            <w:r>
              <w:rPr/>
              <w:t>Employee Benefits</w:t>
            </w:r>
          </w:p>
        </w:tc>
        <w:tc>
          <w:tcPr>
            <w:tcW w:w="260" w:type="dxa"/>
            <w:tcBorders/>
            <w:vAlign w:val="center"/>
          </w:tcPr>
          <w:p>
            <w:pPr>
              <w:pStyle w:val="TableContents"/>
              <w:bidi w:val="0"/>
              <w:spacing w:before="0" w:after="0"/>
              <w:jc w:val="right"/>
              <w:rPr/>
            </w:pPr>
            <w:r>
              <w:rPr/>
              <w:t>22</w:t>
            </w:r>
          </w:p>
        </w:tc>
      </w:tr>
      <w:tr>
        <w:trPr/>
        <w:tc>
          <w:tcPr>
            <w:tcW w:w="1595" w:type="dxa"/>
            <w:tcBorders/>
            <w:shd w:fill="CCEEFF" w:val="clear"/>
            <w:vAlign w:val="center"/>
          </w:tcPr>
          <w:p>
            <w:pPr>
              <w:pStyle w:val="TableContents"/>
              <w:bidi w:val="0"/>
              <w:spacing w:before="0" w:after="0"/>
              <w:jc w:val="left"/>
              <w:rPr/>
            </w:pPr>
            <w:r>
              <w:rPr/>
              <w:t>SECTION 3.11.</w:t>
            </w:r>
          </w:p>
        </w:tc>
        <w:tc>
          <w:tcPr>
            <w:tcW w:w="6560" w:type="dxa"/>
            <w:tcBorders/>
            <w:shd w:fill="CCEEFF" w:val="clear"/>
            <w:vAlign w:val="center"/>
          </w:tcPr>
          <w:p>
            <w:pPr>
              <w:pStyle w:val="TableContents"/>
              <w:bidi w:val="0"/>
              <w:spacing w:before="0" w:after="0"/>
              <w:jc w:val="left"/>
              <w:rPr/>
            </w:pPr>
            <w:r>
              <w:rPr/>
              <w:t>Labor Matters</w:t>
            </w:r>
          </w:p>
        </w:tc>
        <w:tc>
          <w:tcPr>
            <w:tcW w:w="260" w:type="dxa"/>
            <w:tcBorders/>
            <w:shd w:fill="CCEEFF" w:val="clear"/>
            <w:vAlign w:val="center"/>
          </w:tcPr>
          <w:p>
            <w:pPr>
              <w:pStyle w:val="TableContents"/>
              <w:bidi w:val="0"/>
              <w:spacing w:before="0" w:after="0"/>
              <w:jc w:val="right"/>
              <w:rPr/>
            </w:pPr>
            <w:r>
              <w:rPr/>
              <w:t>24</w:t>
            </w:r>
          </w:p>
        </w:tc>
      </w:tr>
      <w:tr>
        <w:trPr/>
        <w:tc>
          <w:tcPr>
            <w:tcW w:w="1595" w:type="dxa"/>
            <w:tcBorders/>
            <w:vAlign w:val="center"/>
          </w:tcPr>
          <w:p>
            <w:pPr>
              <w:pStyle w:val="TableContents"/>
              <w:bidi w:val="0"/>
              <w:spacing w:before="0" w:after="0"/>
              <w:jc w:val="left"/>
              <w:rPr/>
            </w:pPr>
            <w:r>
              <w:rPr/>
              <w:t>SECTION 3.12.</w:t>
            </w:r>
          </w:p>
        </w:tc>
        <w:tc>
          <w:tcPr>
            <w:tcW w:w="6560" w:type="dxa"/>
            <w:tcBorders/>
            <w:vAlign w:val="center"/>
          </w:tcPr>
          <w:p>
            <w:pPr>
              <w:pStyle w:val="TableContents"/>
              <w:bidi w:val="0"/>
              <w:spacing w:before="0" w:after="0"/>
              <w:jc w:val="left"/>
              <w:rPr/>
            </w:pPr>
            <w:r>
              <w:rPr/>
              <w:t>Environmental Matters</w:t>
            </w:r>
          </w:p>
        </w:tc>
        <w:tc>
          <w:tcPr>
            <w:tcW w:w="260" w:type="dxa"/>
            <w:tcBorders/>
            <w:vAlign w:val="center"/>
          </w:tcPr>
          <w:p>
            <w:pPr>
              <w:pStyle w:val="TableContents"/>
              <w:bidi w:val="0"/>
              <w:spacing w:before="0" w:after="0"/>
              <w:jc w:val="right"/>
              <w:rPr/>
            </w:pPr>
            <w:r>
              <w:rPr/>
              <w:t>25</w:t>
            </w:r>
          </w:p>
        </w:tc>
      </w:tr>
      <w:tr>
        <w:trPr/>
        <w:tc>
          <w:tcPr>
            <w:tcW w:w="1595" w:type="dxa"/>
            <w:tcBorders/>
            <w:shd w:fill="CCEEFF" w:val="clear"/>
            <w:vAlign w:val="center"/>
          </w:tcPr>
          <w:p>
            <w:pPr>
              <w:pStyle w:val="TableContents"/>
              <w:bidi w:val="0"/>
              <w:spacing w:before="0" w:after="0"/>
              <w:jc w:val="left"/>
              <w:rPr/>
            </w:pPr>
            <w:r>
              <w:rPr/>
              <w:t>SECTION 3.13.</w:t>
            </w:r>
          </w:p>
        </w:tc>
        <w:tc>
          <w:tcPr>
            <w:tcW w:w="6560" w:type="dxa"/>
            <w:tcBorders/>
            <w:shd w:fill="CCEEFF" w:val="clear"/>
            <w:vAlign w:val="center"/>
          </w:tcPr>
          <w:p>
            <w:pPr>
              <w:pStyle w:val="TableContents"/>
              <w:bidi w:val="0"/>
              <w:spacing w:before="0" w:after="0"/>
              <w:jc w:val="left"/>
              <w:rPr/>
            </w:pPr>
            <w:r>
              <w:rPr/>
              <w:t>Intellectual Property</w:t>
            </w:r>
          </w:p>
        </w:tc>
        <w:tc>
          <w:tcPr>
            <w:tcW w:w="260" w:type="dxa"/>
            <w:tcBorders/>
            <w:shd w:fill="CCEEFF" w:val="clear"/>
            <w:vAlign w:val="center"/>
          </w:tcPr>
          <w:p>
            <w:pPr>
              <w:pStyle w:val="TableContents"/>
              <w:bidi w:val="0"/>
              <w:spacing w:before="0" w:after="0"/>
              <w:jc w:val="right"/>
              <w:rPr/>
            </w:pPr>
            <w:r>
              <w:rPr/>
              <w:t>25</w:t>
            </w:r>
          </w:p>
        </w:tc>
      </w:tr>
      <w:tr>
        <w:trPr/>
        <w:tc>
          <w:tcPr>
            <w:tcW w:w="1595" w:type="dxa"/>
            <w:tcBorders/>
            <w:vAlign w:val="center"/>
          </w:tcPr>
          <w:p>
            <w:pPr>
              <w:pStyle w:val="TableContents"/>
              <w:bidi w:val="0"/>
              <w:spacing w:before="0" w:after="0"/>
              <w:jc w:val="left"/>
              <w:rPr/>
            </w:pPr>
            <w:r>
              <w:rPr/>
              <w:t>SECTION 3.14.</w:t>
            </w:r>
          </w:p>
        </w:tc>
        <w:tc>
          <w:tcPr>
            <w:tcW w:w="6560" w:type="dxa"/>
            <w:tcBorders/>
            <w:vAlign w:val="center"/>
          </w:tcPr>
          <w:p>
            <w:pPr>
              <w:pStyle w:val="TableContents"/>
              <w:bidi w:val="0"/>
              <w:spacing w:before="0" w:after="0"/>
              <w:jc w:val="left"/>
              <w:rPr/>
            </w:pPr>
            <w:r>
              <w:rPr/>
              <w:t>Data Privacy and Technology; Information Security</w:t>
            </w:r>
          </w:p>
        </w:tc>
        <w:tc>
          <w:tcPr>
            <w:tcW w:w="260" w:type="dxa"/>
            <w:tcBorders/>
            <w:vAlign w:val="center"/>
          </w:tcPr>
          <w:p>
            <w:pPr>
              <w:pStyle w:val="TableContents"/>
              <w:bidi w:val="0"/>
              <w:spacing w:before="0" w:after="0"/>
              <w:jc w:val="right"/>
              <w:rPr/>
            </w:pPr>
            <w:r>
              <w:rPr/>
              <w:t>28</w:t>
            </w:r>
          </w:p>
        </w:tc>
      </w:tr>
      <w:tr>
        <w:trPr/>
        <w:tc>
          <w:tcPr>
            <w:tcW w:w="1595" w:type="dxa"/>
            <w:tcBorders/>
            <w:shd w:fill="CCEEFF" w:val="clear"/>
            <w:vAlign w:val="center"/>
          </w:tcPr>
          <w:p>
            <w:pPr>
              <w:pStyle w:val="TableContents"/>
              <w:bidi w:val="0"/>
              <w:spacing w:before="0" w:after="0"/>
              <w:jc w:val="left"/>
              <w:rPr/>
            </w:pPr>
            <w:r>
              <w:rPr/>
              <w:t>SECTION 3.15.</w:t>
            </w:r>
          </w:p>
        </w:tc>
        <w:tc>
          <w:tcPr>
            <w:tcW w:w="6560" w:type="dxa"/>
            <w:tcBorders/>
            <w:shd w:fill="CCEEFF" w:val="clear"/>
            <w:vAlign w:val="center"/>
          </w:tcPr>
          <w:p>
            <w:pPr>
              <w:pStyle w:val="TableContents"/>
              <w:bidi w:val="0"/>
              <w:spacing w:before="0" w:after="0"/>
              <w:jc w:val="left"/>
              <w:rPr/>
            </w:pPr>
            <w:r>
              <w:rPr/>
              <w:t>Property</w:t>
            </w:r>
          </w:p>
        </w:tc>
        <w:tc>
          <w:tcPr>
            <w:tcW w:w="260" w:type="dxa"/>
            <w:tcBorders/>
            <w:shd w:fill="CCEEFF" w:val="clear"/>
            <w:vAlign w:val="center"/>
          </w:tcPr>
          <w:p>
            <w:pPr>
              <w:pStyle w:val="TableContents"/>
              <w:bidi w:val="0"/>
              <w:spacing w:before="0" w:after="0"/>
              <w:jc w:val="right"/>
              <w:rPr/>
            </w:pPr>
            <w:r>
              <w:rPr/>
              <w:t>30</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val="false"/>
          <w:color w:val="000000"/>
          <w:sz w:val="20"/>
          <w:u w:val="single"/>
        </w:rPr>
      </w:pPr>
      <w:r>
        <w:rPr>
          <w:rFonts w:ascii="Times New Roman" w:hAnsi="Times New Roman"/>
          <w:b w:val="false"/>
          <w:color w:val="000000"/>
          <w:sz w:val="20"/>
          <w:u w:val="single"/>
        </w:rPr>
        <w:t>TABLE OF CONTENTS</w:t>
      </w:r>
    </w:p>
    <w:p>
      <w:pPr>
        <w:pStyle w:val="TextBody"/>
        <w:bidi w:val="0"/>
        <w:spacing w:before="0" w:after="0"/>
        <w:jc w:val="center"/>
        <w:rPr>
          <w:rFonts w:ascii="Times New Roman" w:hAnsi="Times New Roman"/>
          <w:b w:val="false"/>
          <w:color w:val="000000"/>
          <w:sz w:val="20"/>
        </w:rPr>
      </w:pPr>
      <w:r>
        <w:rPr>
          <w:rFonts w:ascii="Times New Roman" w:hAnsi="Times New Roman"/>
          <w:b w:val="false"/>
          <w:color w:val="000000"/>
          <w:sz w:val="20"/>
        </w:rPr>
        <w:t>(continued)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right"/>
        <w:rPr>
          <w:rFonts w:ascii="Times New Roman" w:hAnsi="Times New Roman"/>
          <w:color w:val="000000"/>
          <w:sz w:val="20"/>
          <w:u w:val="single"/>
        </w:rPr>
      </w:pPr>
      <w:r>
        <w:rPr>
          <w:rFonts w:ascii="Times New Roman" w:hAnsi="Times New Roman"/>
          <w:color w:val="000000"/>
          <w:sz w:val="20"/>
          <w:u w:val="single"/>
        </w:rPr>
        <w:t>Page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 w:name="z7414bf9c1c00457ababe0fb90fd6a15f"/>
      <w:bookmarkStart w:id="5" w:name="z7414bf9c1c00457ababe0fb90fd6a15f"/>
      <w:bookmarkEnd w:id="5"/>
    </w:p>
    <w:tbl>
      <w:tblPr>
        <w:tblW w:w="10205" w:type="dxa"/>
        <w:jc w:val="left"/>
        <w:tblInd w:w="0" w:type="dxa"/>
        <w:tblLayout w:type="fixed"/>
        <w:tblCellMar>
          <w:top w:w="0" w:type="dxa"/>
          <w:left w:w="0" w:type="dxa"/>
          <w:bottom w:w="0" w:type="dxa"/>
          <w:right w:w="0" w:type="dxa"/>
        </w:tblCellMar>
      </w:tblPr>
      <w:tblGrid>
        <w:gridCol w:w="1610"/>
        <w:gridCol w:w="8320"/>
        <w:gridCol w:w="275"/>
      </w:tblGrid>
      <w:tr>
        <w:trPr/>
        <w:tc>
          <w:tcPr>
            <w:tcW w:w="1610" w:type="dxa"/>
            <w:tcBorders/>
            <w:shd w:fill="CCEEFF" w:val="clear"/>
            <w:vAlign w:val="center"/>
          </w:tcPr>
          <w:p>
            <w:pPr>
              <w:pStyle w:val="TableContents"/>
              <w:bidi w:val="0"/>
              <w:spacing w:before="0" w:after="0"/>
              <w:jc w:val="left"/>
              <w:rPr/>
            </w:pPr>
            <w:r>
              <w:rPr/>
              <w:t>SECTION 3.16.</w:t>
            </w:r>
          </w:p>
        </w:tc>
        <w:tc>
          <w:tcPr>
            <w:tcW w:w="8320" w:type="dxa"/>
            <w:tcBorders/>
            <w:shd w:fill="CCEEFF" w:val="clear"/>
            <w:vAlign w:val="center"/>
          </w:tcPr>
          <w:p>
            <w:pPr>
              <w:pStyle w:val="TableContents"/>
              <w:bidi w:val="0"/>
              <w:spacing w:before="0" w:after="0"/>
              <w:jc w:val="left"/>
              <w:rPr/>
            </w:pPr>
            <w:r>
              <w:rPr/>
              <w:t>Contracts</w:t>
            </w:r>
          </w:p>
        </w:tc>
        <w:tc>
          <w:tcPr>
            <w:tcW w:w="275" w:type="dxa"/>
            <w:tcBorders/>
            <w:shd w:fill="CCEEFF" w:val="clear"/>
            <w:vAlign w:val="center"/>
          </w:tcPr>
          <w:p>
            <w:pPr>
              <w:pStyle w:val="TableContents"/>
              <w:bidi w:val="0"/>
              <w:spacing w:before="0" w:after="0"/>
              <w:jc w:val="right"/>
              <w:rPr/>
            </w:pPr>
            <w:r>
              <w:rPr/>
              <w:t>31</w:t>
            </w:r>
          </w:p>
        </w:tc>
      </w:tr>
      <w:tr>
        <w:trPr/>
        <w:tc>
          <w:tcPr>
            <w:tcW w:w="1610" w:type="dxa"/>
            <w:tcBorders/>
            <w:vAlign w:val="center"/>
          </w:tcPr>
          <w:p>
            <w:pPr>
              <w:pStyle w:val="TableContents"/>
              <w:bidi w:val="0"/>
              <w:spacing w:before="0" w:after="0"/>
              <w:jc w:val="left"/>
              <w:rPr/>
            </w:pPr>
            <w:r>
              <w:rPr/>
              <w:t>SECTION 3.17.</w:t>
            </w:r>
          </w:p>
        </w:tc>
        <w:tc>
          <w:tcPr>
            <w:tcW w:w="8320" w:type="dxa"/>
            <w:tcBorders/>
            <w:vAlign w:val="center"/>
          </w:tcPr>
          <w:p>
            <w:pPr>
              <w:pStyle w:val="TableContents"/>
              <w:bidi w:val="0"/>
              <w:spacing w:before="0" w:after="0"/>
              <w:jc w:val="left"/>
              <w:rPr/>
            </w:pPr>
            <w:r>
              <w:rPr/>
              <w:t>Insurance</w:t>
            </w:r>
          </w:p>
        </w:tc>
        <w:tc>
          <w:tcPr>
            <w:tcW w:w="275" w:type="dxa"/>
            <w:tcBorders/>
            <w:vAlign w:val="center"/>
          </w:tcPr>
          <w:p>
            <w:pPr>
              <w:pStyle w:val="TableContents"/>
              <w:bidi w:val="0"/>
              <w:spacing w:before="0" w:after="0"/>
              <w:jc w:val="right"/>
              <w:rPr/>
            </w:pPr>
            <w:r>
              <w:rPr/>
              <w:t>34</w:t>
            </w:r>
          </w:p>
        </w:tc>
      </w:tr>
      <w:tr>
        <w:trPr/>
        <w:tc>
          <w:tcPr>
            <w:tcW w:w="1610" w:type="dxa"/>
            <w:tcBorders/>
            <w:shd w:fill="CCEEFF" w:val="clear"/>
            <w:vAlign w:val="center"/>
          </w:tcPr>
          <w:p>
            <w:pPr>
              <w:pStyle w:val="TableContents"/>
              <w:bidi w:val="0"/>
              <w:spacing w:before="0" w:after="0"/>
              <w:jc w:val="left"/>
              <w:rPr/>
            </w:pPr>
            <w:r>
              <w:rPr/>
              <w:t>SECTION 3.18.</w:t>
            </w:r>
          </w:p>
        </w:tc>
        <w:tc>
          <w:tcPr>
            <w:tcW w:w="8320" w:type="dxa"/>
            <w:tcBorders/>
            <w:shd w:fill="CCEEFF" w:val="clear"/>
            <w:vAlign w:val="center"/>
          </w:tcPr>
          <w:p>
            <w:pPr>
              <w:pStyle w:val="TableContents"/>
              <w:bidi w:val="0"/>
              <w:spacing w:before="0" w:after="0"/>
              <w:jc w:val="left"/>
              <w:rPr/>
            </w:pPr>
            <w:r>
              <w:rPr/>
              <w:t>Compliance with Healthcare Laws</w:t>
            </w:r>
          </w:p>
        </w:tc>
        <w:tc>
          <w:tcPr>
            <w:tcW w:w="275" w:type="dxa"/>
            <w:tcBorders/>
            <w:shd w:fill="CCEEFF" w:val="clear"/>
            <w:vAlign w:val="center"/>
          </w:tcPr>
          <w:p>
            <w:pPr>
              <w:pStyle w:val="TableContents"/>
              <w:bidi w:val="0"/>
              <w:spacing w:before="0" w:after="0"/>
              <w:jc w:val="right"/>
              <w:rPr/>
            </w:pPr>
            <w:r>
              <w:rPr/>
              <w:t>34</w:t>
            </w:r>
          </w:p>
        </w:tc>
      </w:tr>
      <w:tr>
        <w:trPr/>
        <w:tc>
          <w:tcPr>
            <w:tcW w:w="1610" w:type="dxa"/>
            <w:tcBorders/>
            <w:vAlign w:val="center"/>
          </w:tcPr>
          <w:p>
            <w:pPr>
              <w:pStyle w:val="TableContents"/>
              <w:bidi w:val="0"/>
              <w:spacing w:before="0" w:after="0"/>
              <w:jc w:val="left"/>
              <w:rPr/>
            </w:pPr>
            <w:r>
              <w:rPr/>
              <w:t>SECTION 3.19.</w:t>
            </w:r>
          </w:p>
        </w:tc>
        <w:tc>
          <w:tcPr>
            <w:tcW w:w="8320" w:type="dxa"/>
            <w:tcBorders/>
            <w:vAlign w:val="center"/>
          </w:tcPr>
          <w:p>
            <w:pPr>
              <w:pStyle w:val="TableContents"/>
              <w:bidi w:val="0"/>
              <w:spacing w:before="0" w:after="0"/>
              <w:jc w:val="left"/>
              <w:rPr/>
            </w:pPr>
            <w:r>
              <w:rPr/>
              <w:t>No Rights Agreement; Anti-Takeover Provisions</w:t>
            </w:r>
          </w:p>
        </w:tc>
        <w:tc>
          <w:tcPr>
            <w:tcW w:w="275" w:type="dxa"/>
            <w:tcBorders/>
            <w:vAlign w:val="center"/>
          </w:tcPr>
          <w:p>
            <w:pPr>
              <w:pStyle w:val="TableContents"/>
              <w:bidi w:val="0"/>
              <w:spacing w:before="0" w:after="0"/>
              <w:jc w:val="right"/>
              <w:rPr/>
            </w:pPr>
            <w:r>
              <w:rPr/>
              <w:t>37</w:t>
            </w:r>
          </w:p>
        </w:tc>
      </w:tr>
      <w:tr>
        <w:trPr/>
        <w:tc>
          <w:tcPr>
            <w:tcW w:w="1610" w:type="dxa"/>
            <w:tcBorders/>
            <w:shd w:fill="CCEEFF" w:val="clear"/>
            <w:vAlign w:val="center"/>
          </w:tcPr>
          <w:p>
            <w:pPr>
              <w:pStyle w:val="TableContents"/>
              <w:bidi w:val="0"/>
              <w:spacing w:before="0" w:after="0"/>
              <w:jc w:val="left"/>
              <w:rPr/>
            </w:pPr>
            <w:r>
              <w:rPr/>
              <w:t>SECTION 3.20.</w:t>
            </w:r>
          </w:p>
        </w:tc>
        <w:tc>
          <w:tcPr>
            <w:tcW w:w="8320" w:type="dxa"/>
            <w:tcBorders/>
            <w:shd w:fill="CCEEFF" w:val="clear"/>
            <w:vAlign w:val="center"/>
          </w:tcPr>
          <w:p>
            <w:pPr>
              <w:pStyle w:val="TableContents"/>
              <w:bidi w:val="0"/>
              <w:spacing w:before="0" w:after="0"/>
              <w:jc w:val="left"/>
              <w:rPr/>
            </w:pPr>
            <w:r>
              <w:rPr/>
              <w:t>Opinion of Financial Advisor</w:t>
            </w:r>
          </w:p>
        </w:tc>
        <w:tc>
          <w:tcPr>
            <w:tcW w:w="275" w:type="dxa"/>
            <w:tcBorders/>
            <w:shd w:fill="CCEEFF" w:val="clear"/>
            <w:vAlign w:val="center"/>
          </w:tcPr>
          <w:p>
            <w:pPr>
              <w:pStyle w:val="TableContents"/>
              <w:bidi w:val="0"/>
              <w:spacing w:before="0" w:after="0"/>
              <w:jc w:val="right"/>
              <w:rPr/>
            </w:pPr>
            <w:r>
              <w:rPr/>
              <w:t>37</w:t>
            </w:r>
          </w:p>
        </w:tc>
      </w:tr>
      <w:tr>
        <w:trPr/>
        <w:tc>
          <w:tcPr>
            <w:tcW w:w="1610" w:type="dxa"/>
            <w:tcBorders/>
            <w:vAlign w:val="center"/>
          </w:tcPr>
          <w:p>
            <w:pPr>
              <w:pStyle w:val="TableContents"/>
              <w:bidi w:val="0"/>
              <w:spacing w:before="0" w:after="0"/>
              <w:jc w:val="left"/>
              <w:rPr/>
            </w:pPr>
            <w:r>
              <w:rPr/>
              <w:t>SECTION 3.21.</w:t>
            </w:r>
          </w:p>
        </w:tc>
        <w:tc>
          <w:tcPr>
            <w:tcW w:w="8320" w:type="dxa"/>
            <w:tcBorders/>
            <w:vAlign w:val="center"/>
          </w:tcPr>
          <w:p>
            <w:pPr>
              <w:pStyle w:val="TableContents"/>
              <w:bidi w:val="0"/>
              <w:spacing w:before="0" w:after="0"/>
              <w:jc w:val="left"/>
              <w:rPr/>
            </w:pPr>
            <w:r>
              <w:rPr/>
              <w:t>Brokers and Other Advisors</w:t>
            </w:r>
          </w:p>
        </w:tc>
        <w:tc>
          <w:tcPr>
            <w:tcW w:w="275" w:type="dxa"/>
            <w:tcBorders/>
            <w:vAlign w:val="center"/>
          </w:tcPr>
          <w:p>
            <w:pPr>
              <w:pStyle w:val="TableContents"/>
              <w:bidi w:val="0"/>
              <w:spacing w:before="0" w:after="0"/>
              <w:jc w:val="right"/>
              <w:rPr/>
            </w:pPr>
            <w:r>
              <w:rPr/>
              <w:t>37</w:t>
            </w:r>
          </w:p>
        </w:tc>
      </w:tr>
      <w:tr>
        <w:trPr/>
        <w:tc>
          <w:tcPr>
            <w:tcW w:w="1610" w:type="dxa"/>
            <w:tcBorders/>
            <w:shd w:fill="CCEEFF" w:val="clear"/>
            <w:vAlign w:val="center"/>
          </w:tcPr>
          <w:p>
            <w:pPr>
              <w:pStyle w:val="TableContents"/>
              <w:bidi w:val="0"/>
              <w:spacing w:before="0" w:after="0"/>
              <w:jc w:val="left"/>
              <w:rPr/>
            </w:pPr>
            <w:r>
              <w:rPr/>
              <w:t>SECTION 3.22.</w:t>
            </w:r>
          </w:p>
        </w:tc>
        <w:tc>
          <w:tcPr>
            <w:tcW w:w="8320" w:type="dxa"/>
            <w:tcBorders/>
            <w:shd w:fill="CCEEFF" w:val="clear"/>
            <w:vAlign w:val="center"/>
          </w:tcPr>
          <w:p>
            <w:pPr>
              <w:pStyle w:val="TableContents"/>
              <w:bidi w:val="0"/>
              <w:spacing w:before="0" w:after="0"/>
              <w:jc w:val="left"/>
              <w:rPr/>
            </w:pPr>
            <w:r>
              <w:rPr/>
              <w:t>Affiliate Transactions</w:t>
            </w:r>
          </w:p>
        </w:tc>
        <w:tc>
          <w:tcPr>
            <w:tcW w:w="275" w:type="dxa"/>
            <w:tcBorders/>
            <w:shd w:fill="CCEEFF" w:val="clear"/>
            <w:vAlign w:val="center"/>
          </w:tcPr>
          <w:p>
            <w:pPr>
              <w:pStyle w:val="TableContents"/>
              <w:bidi w:val="0"/>
              <w:spacing w:before="0" w:after="0"/>
              <w:jc w:val="right"/>
              <w:rPr/>
            </w:pPr>
            <w:r>
              <w:rPr/>
              <w:t>37</w:t>
            </w:r>
          </w:p>
        </w:tc>
      </w:tr>
      <w:tr>
        <w:trPr/>
        <w:tc>
          <w:tcPr>
            <w:tcW w:w="1610" w:type="dxa"/>
            <w:tcBorders/>
            <w:vAlign w:val="center"/>
          </w:tcPr>
          <w:p>
            <w:pPr>
              <w:pStyle w:val="TableContents"/>
              <w:bidi w:val="0"/>
              <w:spacing w:before="0" w:after="0"/>
              <w:jc w:val="left"/>
              <w:rPr/>
            </w:pPr>
            <w:r>
              <w:rPr/>
              <w:t>SECTION 3.23.</w:t>
            </w:r>
          </w:p>
        </w:tc>
        <w:tc>
          <w:tcPr>
            <w:tcW w:w="8320" w:type="dxa"/>
            <w:tcBorders/>
            <w:vAlign w:val="center"/>
          </w:tcPr>
          <w:p>
            <w:pPr>
              <w:pStyle w:val="TableContents"/>
              <w:bidi w:val="0"/>
              <w:spacing w:before="0" w:after="0"/>
              <w:jc w:val="left"/>
              <w:rPr/>
            </w:pPr>
            <w:r>
              <w:rPr/>
              <w:t>No Other Representations or Warranties of Parent or Merger Sub</w:t>
            </w:r>
          </w:p>
        </w:tc>
        <w:tc>
          <w:tcPr>
            <w:tcW w:w="275" w:type="dxa"/>
            <w:tcBorders/>
            <w:vAlign w:val="center"/>
          </w:tcPr>
          <w:p>
            <w:pPr>
              <w:pStyle w:val="TableContents"/>
              <w:bidi w:val="0"/>
              <w:spacing w:before="0" w:after="0"/>
              <w:jc w:val="right"/>
              <w:rPr/>
            </w:pPr>
            <w:r>
              <w:rPr/>
              <w:t>38</w:t>
            </w:r>
          </w:p>
        </w:tc>
      </w:tr>
      <w:tr>
        <w:trPr/>
        <w:tc>
          <w:tcPr>
            <w:tcW w:w="1610" w:type="dxa"/>
            <w:tcBorders/>
            <w:shd w:fill="FFFFFF" w:val="clear"/>
            <w:vAlign w:val="center"/>
          </w:tcPr>
          <w:p>
            <w:pPr>
              <w:pStyle w:val="TableContents"/>
              <w:bidi w:val="0"/>
              <w:spacing w:before="0" w:after="283"/>
              <w:jc w:val="left"/>
              <w:rPr/>
            </w:pPr>
            <w:r>
              <w:rPr/>
              <w:t> </w:t>
            </w:r>
          </w:p>
        </w:tc>
        <w:tc>
          <w:tcPr>
            <w:tcW w:w="832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r>
      <w:tr>
        <w:trPr/>
        <w:tc>
          <w:tcPr>
            <w:tcW w:w="10205" w:type="dxa"/>
            <w:gridSpan w:val="3"/>
            <w:tcBorders/>
            <w:vAlign w:val="center"/>
          </w:tcPr>
          <w:p>
            <w:pPr>
              <w:pStyle w:val="TableContents"/>
              <w:bidi w:val="0"/>
              <w:spacing w:before="0" w:after="0"/>
              <w:jc w:val="center"/>
              <w:rPr/>
            </w:pPr>
            <w:r>
              <w:rPr/>
              <w:t>ARTICLE IV</w:t>
            </w:r>
          </w:p>
        </w:tc>
      </w:tr>
      <w:tr>
        <w:trPr/>
        <w:tc>
          <w:tcPr>
            <w:tcW w:w="10205" w:type="dxa"/>
            <w:gridSpan w:val="3"/>
            <w:tcBorders/>
            <w:vAlign w:val="center"/>
          </w:tcPr>
          <w:p>
            <w:pPr>
              <w:pStyle w:val="TableContents"/>
              <w:bidi w:val="0"/>
              <w:spacing w:before="0" w:after="0"/>
              <w:jc w:val="center"/>
              <w:rPr/>
            </w:pPr>
            <w:r>
              <w:rPr/>
              <w:t>Representations and Warranties of Parent and Merger Sub</w:t>
            </w:r>
          </w:p>
        </w:tc>
      </w:tr>
      <w:tr>
        <w:trPr/>
        <w:tc>
          <w:tcPr>
            <w:tcW w:w="1610" w:type="dxa"/>
            <w:tcBorders/>
            <w:vAlign w:val="center"/>
          </w:tcPr>
          <w:p>
            <w:pPr>
              <w:pStyle w:val="TableContents"/>
              <w:bidi w:val="0"/>
              <w:spacing w:before="0" w:after="283"/>
              <w:jc w:val="left"/>
              <w:rPr/>
            </w:pPr>
            <w:r>
              <w:rPr/>
              <w:t> </w:t>
            </w:r>
          </w:p>
        </w:tc>
        <w:tc>
          <w:tcPr>
            <w:tcW w:w="832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r>
      <w:tr>
        <w:trPr/>
        <w:tc>
          <w:tcPr>
            <w:tcW w:w="1610" w:type="dxa"/>
            <w:tcBorders/>
            <w:shd w:fill="CCEEFF" w:val="clear"/>
            <w:vAlign w:val="center"/>
          </w:tcPr>
          <w:p>
            <w:pPr>
              <w:pStyle w:val="TableContents"/>
              <w:bidi w:val="0"/>
              <w:spacing w:before="0" w:after="0"/>
              <w:jc w:val="left"/>
              <w:rPr/>
            </w:pPr>
            <w:r>
              <w:rPr/>
              <w:t>SECTION 4.01.</w:t>
            </w:r>
          </w:p>
        </w:tc>
        <w:tc>
          <w:tcPr>
            <w:tcW w:w="8320" w:type="dxa"/>
            <w:tcBorders/>
            <w:shd w:fill="CCEEFF" w:val="clear"/>
            <w:vAlign w:val="center"/>
          </w:tcPr>
          <w:p>
            <w:pPr>
              <w:pStyle w:val="TableContents"/>
              <w:bidi w:val="0"/>
              <w:spacing w:before="0" w:after="0"/>
              <w:jc w:val="left"/>
              <w:rPr/>
            </w:pPr>
            <w:r>
              <w:rPr/>
              <w:t>Organization; Standing</w:t>
            </w:r>
          </w:p>
        </w:tc>
        <w:tc>
          <w:tcPr>
            <w:tcW w:w="275" w:type="dxa"/>
            <w:tcBorders/>
            <w:shd w:fill="CCEEFF" w:val="clear"/>
            <w:vAlign w:val="center"/>
          </w:tcPr>
          <w:p>
            <w:pPr>
              <w:pStyle w:val="TableContents"/>
              <w:bidi w:val="0"/>
              <w:spacing w:before="0" w:after="0"/>
              <w:jc w:val="right"/>
              <w:rPr/>
            </w:pPr>
            <w:r>
              <w:rPr/>
              <w:t>38</w:t>
            </w:r>
          </w:p>
        </w:tc>
      </w:tr>
      <w:tr>
        <w:trPr/>
        <w:tc>
          <w:tcPr>
            <w:tcW w:w="1610" w:type="dxa"/>
            <w:tcBorders/>
            <w:vAlign w:val="center"/>
          </w:tcPr>
          <w:p>
            <w:pPr>
              <w:pStyle w:val="TableContents"/>
              <w:bidi w:val="0"/>
              <w:spacing w:before="0" w:after="0"/>
              <w:jc w:val="left"/>
              <w:rPr/>
            </w:pPr>
            <w:r>
              <w:rPr/>
              <w:t>SECTION 4.02.</w:t>
            </w:r>
          </w:p>
        </w:tc>
        <w:tc>
          <w:tcPr>
            <w:tcW w:w="8320" w:type="dxa"/>
            <w:tcBorders/>
            <w:vAlign w:val="center"/>
          </w:tcPr>
          <w:p>
            <w:pPr>
              <w:pStyle w:val="TableContents"/>
              <w:bidi w:val="0"/>
              <w:spacing w:before="0" w:after="0"/>
              <w:jc w:val="left"/>
              <w:rPr/>
            </w:pPr>
            <w:r>
              <w:rPr/>
              <w:t>Authority; Noncontravention</w:t>
            </w:r>
          </w:p>
        </w:tc>
        <w:tc>
          <w:tcPr>
            <w:tcW w:w="275" w:type="dxa"/>
            <w:tcBorders/>
            <w:vAlign w:val="center"/>
          </w:tcPr>
          <w:p>
            <w:pPr>
              <w:pStyle w:val="TableContents"/>
              <w:bidi w:val="0"/>
              <w:spacing w:before="0" w:after="0"/>
              <w:jc w:val="right"/>
              <w:rPr/>
            </w:pPr>
            <w:r>
              <w:rPr/>
              <w:t>38</w:t>
            </w:r>
          </w:p>
        </w:tc>
      </w:tr>
      <w:tr>
        <w:trPr/>
        <w:tc>
          <w:tcPr>
            <w:tcW w:w="1610" w:type="dxa"/>
            <w:tcBorders/>
            <w:shd w:fill="CCEEFF" w:val="clear"/>
            <w:vAlign w:val="center"/>
          </w:tcPr>
          <w:p>
            <w:pPr>
              <w:pStyle w:val="TableContents"/>
              <w:bidi w:val="0"/>
              <w:spacing w:before="0" w:after="0"/>
              <w:jc w:val="left"/>
              <w:rPr/>
            </w:pPr>
            <w:r>
              <w:rPr/>
              <w:t>SECTION 4.03.</w:t>
            </w:r>
          </w:p>
        </w:tc>
        <w:tc>
          <w:tcPr>
            <w:tcW w:w="8320" w:type="dxa"/>
            <w:tcBorders/>
            <w:shd w:fill="CCEEFF" w:val="clear"/>
            <w:vAlign w:val="center"/>
          </w:tcPr>
          <w:p>
            <w:pPr>
              <w:pStyle w:val="TableContents"/>
              <w:bidi w:val="0"/>
              <w:spacing w:before="0" w:after="0"/>
              <w:jc w:val="left"/>
              <w:rPr/>
            </w:pPr>
            <w:r>
              <w:rPr/>
              <w:t>Governmental Approvals</w:t>
            </w:r>
          </w:p>
        </w:tc>
        <w:tc>
          <w:tcPr>
            <w:tcW w:w="275" w:type="dxa"/>
            <w:tcBorders/>
            <w:shd w:fill="CCEEFF" w:val="clear"/>
            <w:vAlign w:val="center"/>
          </w:tcPr>
          <w:p>
            <w:pPr>
              <w:pStyle w:val="TableContents"/>
              <w:bidi w:val="0"/>
              <w:spacing w:before="0" w:after="0"/>
              <w:jc w:val="right"/>
              <w:rPr/>
            </w:pPr>
            <w:r>
              <w:rPr/>
              <w:t>39</w:t>
            </w:r>
          </w:p>
        </w:tc>
      </w:tr>
      <w:tr>
        <w:trPr/>
        <w:tc>
          <w:tcPr>
            <w:tcW w:w="1610" w:type="dxa"/>
            <w:tcBorders/>
            <w:vAlign w:val="center"/>
          </w:tcPr>
          <w:p>
            <w:pPr>
              <w:pStyle w:val="TableContents"/>
              <w:bidi w:val="0"/>
              <w:spacing w:before="0" w:after="0"/>
              <w:jc w:val="left"/>
              <w:rPr/>
            </w:pPr>
            <w:r>
              <w:rPr/>
              <w:t>SECTION 4.04.</w:t>
            </w:r>
          </w:p>
        </w:tc>
        <w:tc>
          <w:tcPr>
            <w:tcW w:w="8320" w:type="dxa"/>
            <w:tcBorders/>
            <w:vAlign w:val="center"/>
          </w:tcPr>
          <w:p>
            <w:pPr>
              <w:pStyle w:val="TableContents"/>
              <w:bidi w:val="0"/>
              <w:spacing w:before="0" w:after="0"/>
              <w:jc w:val="left"/>
              <w:rPr/>
            </w:pPr>
            <w:r>
              <w:rPr/>
              <w:t>Ownership and Operations of Merger Sub</w:t>
            </w:r>
          </w:p>
        </w:tc>
        <w:tc>
          <w:tcPr>
            <w:tcW w:w="275" w:type="dxa"/>
            <w:tcBorders/>
            <w:vAlign w:val="center"/>
          </w:tcPr>
          <w:p>
            <w:pPr>
              <w:pStyle w:val="TableContents"/>
              <w:bidi w:val="0"/>
              <w:spacing w:before="0" w:after="0"/>
              <w:jc w:val="right"/>
              <w:rPr/>
            </w:pPr>
            <w:r>
              <w:rPr/>
              <w:t>40</w:t>
            </w:r>
          </w:p>
        </w:tc>
      </w:tr>
      <w:tr>
        <w:trPr/>
        <w:tc>
          <w:tcPr>
            <w:tcW w:w="1610" w:type="dxa"/>
            <w:tcBorders/>
            <w:shd w:fill="CCEEFF" w:val="clear"/>
            <w:vAlign w:val="center"/>
          </w:tcPr>
          <w:p>
            <w:pPr>
              <w:pStyle w:val="TableContents"/>
              <w:bidi w:val="0"/>
              <w:spacing w:before="0" w:after="0"/>
              <w:jc w:val="left"/>
              <w:rPr/>
            </w:pPr>
            <w:r>
              <w:rPr/>
              <w:t>SECTION 4.05.</w:t>
            </w:r>
          </w:p>
        </w:tc>
        <w:tc>
          <w:tcPr>
            <w:tcW w:w="8320" w:type="dxa"/>
            <w:tcBorders/>
            <w:shd w:fill="CCEEFF" w:val="clear"/>
            <w:vAlign w:val="center"/>
          </w:tcPr>
          <w:p>
            <w:pPr>
              <w:pStyle w:val="TableContents"/>
              <w:bidi w:val="0"/>
              <w:spacing w:before="0" w:after="0"/>
              <w:jc w:val="left"/>
              <w:rPr/>
            </w:pPr>
            <w:r>
              <w:rPr/>
              <w:t>Sufficiency</w:t>
            </w:r>
          </w:p>
        </w:tc>
        <w:tc>
          <w:tcPr>
            <w:tcW w:w="275" w:type="dxa"/>
            <w:tcBorders/>
            <w:shd w:fill="CCEEFF" w:val="clear"/>
            <w:vAlign w:val="center"/>
          </w:tcPr>
          <w:p>
            <w:pPr>
              <w:pStyle w:val="TableContents"/>
              <w:bidi w:val="0"/>
              <w:spacing w:before="0" w:after="0"/>
              <w:jc w:val="right"/>
              <w:rPr/>
            </w:pPr>
            <w:r>
              <w:rPr/>
              <w:t>40</w:t>
            </w:r>
          </w:p>
        </w:tc>
      </w:tr>
      <w:tr>
        <w:trPr/>
        <w:tc>
          <w:tcPr>
            <w:tcW w:w="1610" w:type="dxa"/>
            <w:tcBorders/>
            <w:vAlign w:val="center"/>
          </w:tcPr>
          <w:p>
            <w:pPr>
              <w:pStyle w:val="TableContents"/>
              <w:bidi w:val="0"/>
              <w:spacing w:before="0" w:after="0"/>
              <w:jc w:val="left"/>
              <w:rPr/>
            </w:pPr>
            <w:r>
              <w:rPr/>
              <w:t>SECTION 4.06.</w:t>
            </w:r>
          </w:p>
        </w:tc>
        <w:tc>
          <w:tcPr>
            <w:tcW w:w="8320" w:type="dxa"/>
            <w:tcBorders/>
            <w:vAlign w:val="center"/>
          </w:tcPr>
          <w:p>
            <w:pPr>
              <w:pStyle w:val="TableContents"/>
              <w:bidi w:val="0"/>
              <w:spacing w:before="0" w:after="0"/>
              <w:jc w:val="left"/>
              <w:rPr/>
            </w:pPr>
            <w:r>
              <w:rPr/>
              <w:t>Certain Arrangements</w:t>
            </w:r>
          </w:p>
        </w:tc>
        <w:tc>
          <w:tcPr>
            <w:tcW w:w="275" w:type="dxa"/>
            <w:tcBorders/>
            <w:vAlign w:val="center"/>
          </w:tcPr>
          <w:p>
            <w:pPr>
              <w:pStyle w:val="TableContents"/>
              <w:bidi w:val="0"/>
              <w:spacing w:before="0" w:after="0"/>
              <w:jc w:val="right"/>
              <w:rPr/>
            </w:pPr>
            <w:r>
              <w:rPr/>
              <w:t>40</w:t>
            </w:r>
          </w:p>
        </w:tc>
      </w:tr>
      <w:tr>
        <w:trPr/>
        <w:tc>
          <w:tcPr>
            <w:tcW w:w="1610" w:type="dxa"/>
            <w:tcBorders/>
            <w:shd w:fill="CCEEFF" w:val="clear"/>
            <w:vAlign w:val="center"/>
          </w:tcPr>
          <w:p>
            <w:pPr>
              <w:pStyle w:val="TableContents"/>
              <w:bidi w:val="0"/>
              <w:spacing w:before="0" w:after="0"/>
              <w:jc w:val="left"/>
              <w:rPr/>
            </w:pPr>
            <w:r>
              <w:rPr/>
              <w:t>SECTION 4.07.</w:t>
            </w:r>
          </w:p>
        </w:tc>
        <w:tc>
          <w:tcPr>
            <w:tcW w:w="8320" w:type="dxa"/>
            <w:tcBorders/>
            <w:shd w:fill="CCEEFF" w:val="clear"/>
            <w:vAlign w:val="center"/>
          </w:tcPr>
          <w:p>
            <w:pPr>
              <w:pStyle w:val="TableContents"/>
              <w:bidi w:val="0"/>
              <w:spacing w:before="0" w:after="0"/>
              <w:jc w:val="left"/>
              <w:rPr/>
            </w:pPr>
            <w:r>
              <w:rPr/>
              <w:t>Brokers and Other Advisors</w:t>
            </w:r>
          </w:p>
        </w:tc>
        <w:tc>
          <w:tcPr>
            <w:tcW w:w="275" w:type="dxa"/>
            <w:tcBorders/>
            <w:shd w:fill="CCEEFF" w:val="clear"/>
            <w:vAlign w:val="center"/>
          </w:tcPr>
          <w:p>
            <w:pPr>
              <w:pStyle w:val="TableContents"/>
              <w:bidi w:val="0"/>
              <w:spacing w:before="0" w:after="0"/>
              <w:jc w:val="right"/>
              <w:rPr/>
            </w:pPr>
            <w:r>
              <w:rPr/>
              <w:t>40</w:t>
            </w:r>
          </w:p>
        </w:tc>
      </w:tr>
      <w:tr>
        <w:trPr/>
        <w:tc>
          <w:tcPr>
            <w:tcW w:w="1610" w:type="dxa"/>
            <w:tcBorders/>
            <w:vAlign w:val="center"/>
          </w:tcPr>
          <w:p>
            <w:pPr>
              <w:pStyle w:val="TableContents"/>
              <w:bidi w:val="0"/>
              <w:spacing w:before="0" w:after="0"/>
              <w:jc w:val="left"/>
              <w:rPr/>
            </w:pPr>
            <w:r>
              <w:rPr/>
              <w:t>SECTION 4.08.</w:t>
            </w:r>
          </w:p>
        </w:tc>
        <w:tc>
          <w:tcPr>
            <w:tcW w:w="8320" w:type="dxa"/>
            <w:tcBorders/>
            <w:vAlign w:val="center"/>
          </w:tcPr>
          <w:p>
            <w:pPr>
              <w:pStyle w:val="TableContents"/>
              <w:bidi w:val="0"/>
              <w:spacing w:before="0" w:after="0"/>
              <w:jc w:val="left"/>
              <w:rPr/>
            </w:pPr>
            <w:r>
              <w:rPr/>
              <w:t>Information Supplied</w:t>
            </w:r>
          </w:p>
        </w:tc>
        <w:tc>
          <w:tcPr>
            <w:tcW w:w="275" w:type="dxa"/>
            <w:tcBorders/>
            <w:vAlign w:val="center"/>
          </w:tcPr>
          <w:p>
            <w:pPr>
              <w:pStyle w:val="TableContents"/>
              <w:bidi w:val="0"/>
              <w:spacing w:before="0" w:after="0"/>
              <w:jc w:val="right"/>
              <w:rPr/>
            </w:pPr>
            <w:r>
              <w:rPr/>
              <w:t>41</w:t>
            </w:r>
          </w:p>
        </w:tc>
      </w:tr>
      <w:tr>
        <w:trPr/>
        <w:tc>
          <w:tcPr>
            <w:tcW w:w="1610" w:type="dxa"/>
            <w:tcBorders/>
            <w:shd w:fill="CCEEFF" w:val="clear"/>
            <w:vAlign w:val="center"/>
          </w:tcPr>
          <w:p>
            <w:pPr>
              <w:pStyle w:val="TableContents"/>
              <w:bidi w:val="0"/>
              <w:spacing w:before="0" w:after="0"/>
              <w:jc w:val="left"/>
              <w:rPr/>
            </w:pPr>
            <w:r>
              <w:rPr/>
              <w:t>SECTION 4.09.</w:t>
            </w:r>
          </w:p>
        </w:tc>
        <w:tc>
          <w:tcPr>
            <w:tcW w:w="8320" w:type="dxa"/>
            <w:tcBorders/>
            <w:shd w:fill="CCEEFF" w:val="clear"/>
            <w:vAlign w:val="center"/>
          </w:tcPr>
          <w:p>
            <w:pPr>
              <w:pStyle w:val="TableContents"/>
              <w:bidi w:val="0"/>
              <w:spacing w:before="0" w:after="0"/>
              <w:jc w:val="left"/>
              <w:rPr/>
            </w:pPr>
            <w:r>
              <w:rPr/>
              <w:t>Legal Proceedings</w:t>
            </w:r>
          </w:p>
        </w:tc>
        <w:tc>
          <w:tcPr>
            <w:tcW w:w="275" w:type="dxa"/>
            <w:tcBorders/>
            <w:shd w:fill="CCEEFF" w:val="clear"/>
            <w:vAlign w:val="center"/>
          </w:tcPr>
          <w:p>
            <w:pPr>
              <w:pStyle w:val="TableContents"/>
              <w:bidi w:val="0"/>
              <w:spacing w:before="0" w:after="0"/>
              <w:jc w:val="right"/>
              <w:rPr/>
            </w:pPr>
            <w:r>
              <w:rPr/>
              <w:t>41</w:t>
            </w:r>
          </w:p>
        </w:tc>
      </w:tr>
      <w:tr>
        <w:trPr/>
        <w:tc>
          <w:tcPr>
            <w:tcW w:w="1610" w:type="dxa"/>
            <w:tcBorders/>
            <w:vAlign w:val="center"/>
          </w:tcPr>
          <w:p>
            <w:pPr>
              <w:pStyle w:val="TableContents"/>
              <w:bidi w:val="0"/>
              <w:spacing w:before="0" w:after="0"/>
              <w:jc w:val="left"/>
              <w:rPr/>
            </w:pPr>
            <w:r>
              <w:rPr/>
              <w:t>SECTION 4.10.</w:t>
            </w:r>
          </w:p>
        </w:tc>
        <w:tc>
          <w:tcPr>
            <w:tcW w:w="8320" w:type="dxa"/>
            <w:tcBorders/>
            <w:vAlign w:val="center"/>
          </w:tcPr>
          <w:p>
            <w:pPr>
              <w:pStyle w:val="TableContents"/>
              <w:bidi w:val="0"/>
              <w:spacing w:before="0" w:after="0"/>
              <w:jc w:val="left"/>
              <w:rPr/>
            </w:pPr>
            <w:r>
              <w:rPr/>
              <w:t>Ownership of Equity of the Company</w:t>
            </w:r>
          </w:p>
        </w:tc>
        <w:tc>
          <w:tcPr>
            <w:tcW w:w="275" w:type="dxa"/>
            <w:tcBorders/>
            <w:vAlign w:val="center"/>
          </w:tcPr>
          <w:p>
            <w:pPr>
              <w:pStyle w:val="TableContents"/>
              <w:bidi w:val="0"/>
              <w:spacing w:before="0" w:after="0"/>
              <w:jc w:val="right"/>
              <w:rPr/>
            </w:pPr>
            <w:r>
              <w:rPr/>
              <w:t>41</w:t>
            </w:r>
          </w:p>
        </w:tc>
      </w:tr>
      <w:tr>
        <w:trPr/>
        <w:tc>
          <w:tcPr>
            <w:tcW w:w="1610" w:type="dxa"/>
            <w:tcBorders/>
            <w:shd w:fill="CCEEFF" w:val="clear"/>
            <w:vAlign w:val="center"/>
          </w:tcPr>
          <w:p>
            <w:pPr>
              <w:pStyle w:val="TableContents"/>
              <w:bidi w:val="0"/>
              <w:spacing w:before="0" w:after="0"/>
              <w:jc w:val="left"/>
              <w:rPr/>
            </w:pPr>
            <w:r>
              <w:rPr/>
              <w:t>SECTION 4.11.</w:t>
            </w:r>
          </w:p>
        </w:tc>
        <w:tc>
          <w:tcPr>
            <w:tcW w:w="8320" w:type="dxa"/>
            <w:tcBorders/>
            <w:shd w:fill="CCEEFF" w:val="clear"/>
            <w:vAlign w:val="center"/>
          </w:tcPr>
          <w:p>
            <w:pPr>
              <w:pStyle w:val="TableContents"/>
              <w:bidi w:val="0"/>
              <w:spacing w:before="0" w:after="0"/>
              <w:jc w:val="left"/>
              <w:rPr/>
            </w:pPr>
            <w:r>
              <w:rPr/>
              <w:t>No Other Company Representations or Warranties</w:t>
            </w:r>
          </w:p>
        </w:tc>
        <w:tc>
          <w:tcPr>
            <w:tcW w:w="275" w:type="dxa"/>
            <w:tcBorders/>
            <w:shd w:fill="CCEEFF" w:val="clear"/>
            <w:vAlign w:val="center"/>
          </w:tcPr>
          <w:p>
            <w:pPr>
              <w:pStyle w:val="TableContents"/>
              <w:bidi w:val="0"/>
              <w:spacing w:before="0" w:after="0"/>
              <w:jc w:val="right"/>
              <w:rPr/>
            </w:pPr>
            <w:r>
              <w:rPr/>
              <w:t>41</w:t>
            </w:r>
          </w:p>
        </w:tc>
      </w:tr>
      <w:tr>
        <w:trPr/>
        <w:tc>
          <w:tcPr>
            <w:tcW w:w="1610" w:type="dxa"/>
            <w:tcBorders/>
            <w:vAlign w:val="center"/>
          </w:tcPr>
          <w:p>
            <w:pPr>
              <w:pStyle w:val="TableContents"/>
              <w:bidi w:val="0"/>
              <w:spacing w:before="0" w:after="0"/>
              <w:jc w:val="left"/>
              <w:rPr/>
            </w:pPr>
            <w:r>
              <w:rPr/>
              <w:t>SECTION 4.12.</w:t>
            </w:r>
          </w:p>
        </w:tc>
        <w:tc>
          <w:tcPr>
            <w:tcW w:w="8320" w:type="dxa"/>
            <w:tcBorders/>
            <w:vAlign w:val="center"/>
          </w:tcPr>
          <w:p>
            <w:pPr>
              <w:pStyle w:val="TableContents"/>
              <w:bidi w:val="0"/>
              <w:spacing w:before="0" w:after="0"/>
              <w:jc w:val="left"/>
              <w:rPr/>
            </w:pPr>
            <w:r>
              <w:rPr/>
              <w:t>Non-Reliance on Company Estimates, Projections, Forecasts, Forward-Looking Statements and Business Plans</w:t>
            </w:r>
          </w:p>
        </w:tc>
        <w:tc>
          <w:tcPr>
            <w:tcW w:w="275" w:type="dxa"/>
            <w:tcBorders/>
            <w:vAlign w:val="center"/>
          </w:tcPr>
          <w:p>
            <w:pPr>
              <w:pStyle w:val="TableContents"/>
              <w:bidi w:val="0"/>
              <w:spacing w:before="0" w:after="0"/>
              <w:jc w:val="right"/>
              <w:rPr/>
            </w:pPr>
            <w:r>
              <w:rPr/>
              <w:t>42</w:t>
            </w:r>
          </w:p>
        </w:tc>
      </w:tr>
      <w:tr>
        <w:trPr/>
        <w:tc>
          <w:tcPr>
            <w:tcW w:w="1610" w:type="dxa"/>
            <w:tcBorders/>
            <w:vAlign w:val="center"/>
          </w:tcPr>
          <w:p>
            <w:pPr>
              <w:pStyle w:val="TableContents"/>
              <w:bidi w:val="0"/>
              <w:spacing w:before="0" w:after="283"/>
              <w:jc w:val="left"/>
              <w:rPr/>
            </w:pPr>
            <w:r>
              <w:rPr/>
              <w:t> </w:t>
            </w:r>
          </w:p>
        </w:tc>
        <w:tc>
          <w:tcPr>
            <w:tcW w:w="832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r>
      <w:tr>
        <w:trPr/>
        <w:tc>
          <w:tcPr>
            <w:tcW w:w="10205" w:type="dxa"/>
            <w:gridSpan w:val="3"/>
            <w:tcBorders/>
            <w:vAlign w:val="center"/>
          </w:tcPr>
          <w:p>
            <w:pPr>
              <w:pStyle w:val="TableContents"/>
              <w:bidi w:val="0"/>
              <w:spacing w:before="0" w:after="0"/>
              <w:jc w:val="center"/>
              <w:rPr/>
            </w:pPr>
            <w:r>
              <w:rPr/>
              <w:t>ARTICLE V</w:t>
            </w:r>
          </w:p>
        </w:tc>
      </w:tr>
      <w:tr>
        <w:trPr/>
        <w:tc>
          <w:tcPr>
            <w:tcW w:w="10205" w:type="dxa"/>
            <w:gridSpan w:val="3"/>
            <w:tcBorders/>
            <w:vAlign w:val="center"/>
          </w:tcPr>
          <w:p>
            <w:pPr>
              <w:pStyle w:val="TableContents"/>
              <w:bidi w:val="0"/>
              <w:spacing w:before="0" w:after="0"/>
              <w:jc w:val="center"/>
              <w:rPr/>
            </w:pPr>
            <w:r>
              <w:rPr/>
              <w:t>Additional Covenants and Agreements</w:t>
            </w:r>
          </w:p>
        </w:tc>
      </w:tr>
      <w:tr>
        <w:trPr/>
        <w:tc>
          <w:tcPr>
            <w:tcW w:w="1610" w:type="dxa"/>
            <w:tcBorders/>
            <w:vAlign w:val="center"/>
          </w:tcPr>
          <w:p>
            <w:pPr>
              <w:pStyle w:val="TableContents"/>
              <w:bidi w:val="0"/>
              <w:spacing w:before="0" w:after="283"/>
              <w:jc w:val="left"/>
              <w:rPr/>
            </w:pPr>
            <w:r>
              <w:rPr/>
              <w:t> </w:t>
            </w:r>
          </w:p>
        </w:tc>
        <w:tc>
          <w:tcPr>
            <w:tcW w:w="832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r>
      <w:tr>
        <w:trPr/>
        <w:tc>
          <w:tcPr>
            <w:tcW w:w="1610" w:type="dxa"/>
            <w:tcBorders/>
            <w:shd w:fill="CCEEFF" w:val="clear"/>
            <w:vAlign w:val="center"/>
          </w:tcPr>
          <w:p>
            <w:pPr>
              <w:pStyle w:val="TableContents"/>
              <w:bidi w:val="0"/>
              <w:spacing w:before="0" w:after="0"/>
              <w:jc w:val="left"/>
              <w:rPr/>
            </w:pPr>
            <w:r>
              <w:rPr/>
              <w:t>SECTION 5.01.</w:t>
            </w:r>
          </w:p>
        </w:tc>
        <w:tc>
          <w:tcPr>
            <w:tcW w:w="8320" w:type="dxa"/>
            <w:tcBorders/>
            <w:shd w:fill="CCEEFF" w:val="clear"/>
            <w:vAlign w:val="center"/>
          </w:tcPr>
          <w:p>
            <w:pPr>
              <w:pStyle w:val="TableContents"/>
              <w:bidi w:val="0"/>
              <w:spacing w:before="0" w:after="0"/>
              <w:jc w:val="left"/>
              <w:rPr/>
            </w:pPr>
            <w:r>
              <w:rPr/>
              <w:t>Conduct of Business</w:t>
            </w:r>
          </w:p>
        </w:tc>
        <w:tc>
          <w:tcPr>
            <w:tcW w:w="275" w:type="dxa"/>
            <w:tcBorders/>
            <w:shd w:fill="CCEEFF" w:val="clear"/>
            <w:vAlign w:val="center"/>
          </w:tcPr>
          <w:p>
            <w:pPr>
              <w:pStyle w:val="TableContents"/>
              <w:bidi w:val="0"/>
              <w:spacing w:before="0" w:after="0"/>
              <w:jc w:val="right"/>
              <w:rPr/>
            </w:pPr>
            <w:r>
              <w:rPr/>
              <w:t>42</w:t>
            </w:r>
          </w:p>
        </w:tc>
      </w:tr>
      <w:tr>
        <w:trPr/>
        <w:tc>
          <w:tcPr>
            <w:tcW w:w="1610" w:type="dxa"/>
            <w:tcBorders/>
            <w:vAlign w:val="center"/>
          </w:tcPr>
          <w:p>
            <w:pPr>
              <w:pStyle w:val="TableContents"/>
              <w:bidi w:val="0"/>
              <w:spacing w:before="0" w:after="0"/>
              <w:jc w:val="left"/>
              <w:rPr/>
            </w:pPr>
            <w:r>
              <w:rPr/>
              <w:t>SECTION 5.02.</w:t>
            </w:r>
          </w:p>
        </w:tc>
        <w:tc>
          <w:tcPr>
            <w:tcW w:w="8320" w:type="dxa"/>
            <w:tcBorders/>
            <w:vAlign w:val="center"/>
          </w:tcPr>
          <w:p>
            <w:pPr>
              <w:pStyle w:val="TableContents"/>
              <w:bidi w:val="0"/>
              <w:spacing w:before="0" w:after="0"/>
              <w:jc w:val="left"/>
              <w:rPr/>
            </w:pPr>
            <w:r>
              <w:rPr/>
              <w:t>No Solicitation; Change in Recommendation</w:t>
            </w:r>
          </w:p>
        </w:tc>
        <w:tc>
          <w:tcPr>
            <w:tcW w:w="275" w:type="dxa"/>
            <w:tcBorders/>
            <w:vAlign w:val="center"/>
          </w:tcPr>
          <w:p>
            <w:pPr>
              <w:pStyle w:val="TableContents"/>
              <w:bidi w:val="0"/>
              <w:spacing w:before="0" w:after="0"/>
              <w:jc w:val="right"/>
              <w:rPr/>
            </w:pPr>
            <w:r>
              <w:rPr/>
              <w:t>47</w:t>
            </w:r>
          </w:p>
        </w:tc>
      </w:tr>
      <w:tr>
        <w:trPr/>
        <w:tc>
          <w:tcPr>
            <w:tcW w:w="1610" w:type="dxa"/>
            <w:tcBorders/>
            <w:shd w:fill="CCEEFF" w:val="clear"/>
            <w:vAlign w:val="center"/>
          </w:tcPr>
          <w:p>
            <w:pPr>
              <w:pStyle w:val="TableContents"/>
              <w:bidi w:val="0"/>
              <w:spacing w:before="0" w:after="0"/>
              <w:jc w:val="left"/>
              <w:rPr/>
            </w:pPr>
            <w:r>
              <w:rPr/>
              <w:t>SECTION 5.03.</w:t>
            </w:r>
          </w:p>
        </w:tc>
        <w:tc>
          <w:tcPr>
            <w:tcW w:w="8320" w:type="dxa"/>
            <w:tcBorders/>
            <w:shd w:fill="CCEEFF" w:val="clear"/>
            <w:vAlign w:val="center"/>
          </w:tcPr>
          <w:p>
            <w:pPr>
              <w:pStyle w:val="TableContents"/>
              <w:bidi w:val="0"/>
              <w:spacing w:before="0" w:after="0"/>
              <w:jc w:val="left"/>
              <w:rPr/>
            </w:pPr>
            <w:r>
              <w:rPr/>
              <w:t>Efforts</w:t>
            </w:r>
          </w:p>
        </w:tc>
        <w:tc>
          <w:tcPr>
            <w:tcW w:w="275" w:type="dxa"/>
            <w:tcBorders/>
            <w:shd w:fill="CCEEFF" w:val="clear"/>
            <w:vAlign w:val="center"/>
          </w:tcPr>
          <w:p>
            <w:pPr>
              <w:pStyle w:val="TableContents"/>
              <w:bidi w:val="0"/>
              <w:spacing w:before="0" w:after="0"/>
              <w:jc w:val="right"/>
              <w:rPr/>
            </w:pPr>
            <w:r>
              <w:rPr/>
              <w:t>52</w:t>
            </w:r>
          </w:p>
        </w:tc>
      </w:tr>
      <w:tr>
        <w:trPr/>
        <w:tc>
          <w:tcPr>
            <w:tcW w:w="1610" w:type="dxa"/>
            <w:tcBorders/>
            <w:vAlign w:val="center"/>
          </w:tcPr>
          <w:p>
            <w:pPr>
              <w:pStyle w:val="TableContents"/>
              <w:bidi w:val="0"/>
              <w:spacing w:before="0" w:after="0"/>
              <w:jc w:val="left"/>
              <w:rPr/>
            </w:pPr>
            <w:r>
              <w:rPr/>
              <w:t>SECTION 5.04.</w:t>
            </w:r>
          </w:p>
        </w:tc>
        <w:tc>
          <w:tcPr>
            <w:tcW w:w="8320" w:type="dxa"/>
            <w:tcBorders/>
            <w:vAlign w:val="center"/>
          </w:tcPr>
          <w:p>
            <w:pPr>
              <w:pStyle w:val="TableContents"/>
              <w:bidi w:val="0"/>
              <w:spacing w:before="0" w:after="0"/>
              <w:jc w:val="left"/>
              <w:rPr/>
            </w:pPr>
            <w:r>
              <w:rPr/>
              <w:t>Public Announcements</w:t>
            </w:r>
          </w:p>
        </w:tc>
        <w:tc>
          <w:tcPr>
            <w:tcW w:w="275" w:type="dxa"/>
            <w:tcBorders/>
            <w:vAlign w:val="center"/>
          </w:tcPr>
          <w:p>
            <w:pPr>
              <w:pStyle w:val="TableContents"/>
              <w:bidi w:val="0"/>
              <w:spacing w:before="0" w:after="0"/>
              <w:jc w:val="right"/>
              <w:rPr/>
            </w:pPr>
            <w:r>
              <w:rPr/>
              <w:t>55</w:t>
            </w:r>
          </w:p>
        </w:tc>
      </w:tr>
      <w:tr>
        <w:trPr/>
        <w:tc>
          <w:tcPr>
            <w:tcW w:w="1610" w:type="dxa"/>
            <w:tcBorders/>
            <w:shd w:fill="CCEEFF" w:val="clear"/>
            <w:vAlign w:val="center"/>
          </w:tcPr>
          <w:p>
            <w:pPr>
              <w:pStyle w:val="TableContents"/>
              <w:bidi w:val="0"/>
              <w:spacing w:before="0" w:after="0"/>
              <w:jc w:val="left"/>
              <w:rPr/>
            </w:pPr>
            <w:r>
              <w:rPr/>
              <w:t>SECTION 5.05.</w:t>
            </w:r>
          </w:p>
        </w:tc>
        <w:tc>
          <w:tcPr>
            <w:tcW w:w="8320" w:type="dxa"/>
            <w:tcBorders/>
            <w:shd w:fill="CCEEFF" w:val="clear"/>
            <w:vAlign w:val="center"/>
          </w:tcPr>
          <w:p>
            <w:pPr>
              <w:pStyle w:val="TableContents"/>
              <w:bidi w:val="0"/>
              <w:spacing w:before="0" w:after="0"/>
              <w:jc w:val="left"/>
              <w:rPr/>
            </w:pPr>
            <w:r>
              <w:rPr/>
              <w:t>Access to Information; Confidentiality</w:t>
            </w:r>
          </w:p>
        </w:tc>
        <w:tc>
          <w:tcPr>
            <w:tcW w:w="275" w:type="dxa"/>
            <w:tcBorders/>
            <w:shd w:fill="CCEEFF" w:val="clear"/>
            <w:vAlign w:val="center"/>
          </w:tcPr>
          <w:p>
            <w:pPr>
              <w:pStyle w:val="TableContents"/>
              <w:bidi w:val="0"/>
              <w:spacing w:before="0" w:after="0"/>
              <w:jc w:val="right"/>
              <w:rPr/>
            </w:pPr>
            <w:r>
              <w:rPr/>
              <w:t>55</w:t>
            </w:r>
          </w:p>
        </w:tc>
      </w:tr>
      <w:tr>
        <w:trPr/>
        <w:tc>
          <w:tcPr>
            <w:tcW w:w="1610" w:type="dxa"/>
            <w:tcBorders/>
            <w:vAlign w:val="center"/>
          </w:tcPr>
          <w:p>
            <w:pPr>
              <w:pStyle w:val="TableContents"/>
              <w:bidi w:val="0"/>
              <w:spacing w:before="0" w:after="0"/>
              <w:jc w:val="left"/>
              <w:rPr/>
            </w:pPr>
            <w:r>
              <w:rPr/>
              <w:t>SECTION 5.06.</w:t>
            </w:r>
          </w:p>
        </w:tc>
        <w:tc>
          <w:tcPr>
            <w:tcW w:w="8320" w:type="dxa"/>
            <w:tcBorders/>
            <w:vAlign w:val="center"/>
          </w:tcPr>
          <w:p>
            <w:pPr>
              <w:pStyle w:val="TableContents"/>
              <w:bidi w:val="0"/>
              <w:spacing w:before="0" w:after="0"/>
              <w:jc w:val="left"/>
              <w:rPr/>
            </w:pPr>
            <w:r>
              <w:rPr/>
              <w:t>Indemnification and Insurance</w:t>
            </w:r>
          </w:p>
        </w:tc>
        <w:tc>
          <w:tcPr>
            <w:tcW w:w="275" w:type="dxa"/>
            <w:tcBorders/>
            <w:vAlign w:val="center"/>
          </w:tcPr>
          <w:p>
            <w:pPr>
              <w:pStyle w:val="TableContents"/>
              <w:bidi w:val="0"/>
              <w:spacing w:before="0" w:after="0"/>
              <w:jc w:val="right"/>
              <w:rPr/>
            </w:pPr>
            <w:r>
              <w:rPr/>
              <w:t>56</w:t>
            </w:r>
          </w:p>
        </w:tc>
      </w:tr>
      <w:tr>
        <w:trPr/>
        <w:tc>
          <w:tcPr>
            <w:tcW w:w="1610" w:type="dxa"/>
            <w:tcBorders/>
            <w:shd w:fill="CCEEFF" w:val="clear"/>
            <w:vAlign w:val="center"/>
          </w:tcPr>
          <w:p>
            <w:pPr>
              <w:pStyle w:val="TableContents"/>
              <w:bidi w:val="0"/>
              <w:spacing w:before="0" w:after="0"/>
              <w:jc w:val="left"/>
              <w:rPr/>
            </w:pPr>
            <w:r>
              <w:rPr/>
              <w:t>SECTION 5.07.</w:t>
            </w:r>
          </w:p>
        </w:tc>
        <w:tc>
          <w:tcPr>
            <w:tcW w:w="8320" w:type="dxa"/>
            <w:tcBorders/>
            <w:shd w:fill="CCEEFF" w:val="clear"/>
            <w:vAlign w:val="center"/>
          </w:tcPr>
          <w:p>
            <w:pPr>
              <w:pStyle w:val="TableContents"/>
              <w:bidi w:val="0"/>
              <w:spacing w:before="0" w:after="0"/>
              <w:jc w:val="left"/>
              <w:rPr/>
            </w:pPr>
            <w:r>
              <w:rPr/>
              <w:t>Employee Matters</w:t>
            </w:r>
          </w:p>
        </w:tc>
        <w:tc>
          <w:tcPr>
            <w:tcW w:w="275" w:type="dxa"/>
            <w:tcBorders/>
            <w:shd w:fill="CCEEFF" w:val="clear"/>
            <w:vAlign w:val="center"/>
          </w:tcPr>
          <w:p>
            <w:pPr>
              <w:pStyle w:val="TableContents"/>
              <w:bidi w:val="0"/>
              <w:spacing w:before="0" w:after="0"/>
              <w:jc w:val="right"/>
              <w:rPr/>
            </w:pPr>
            <w:r>
              <w:rPr/>
              <w:t>58</w:t>
            </w:r>
          </w:p>
        </w:tc>
      </w:tr>
      <w:tr>
        <w:trPr/>
        <w:tc>
          <w:tcPr>
            <w:tcW w:w="1610" w:type="dxa"/>
            <w:tcBorders/>
            <w:vAlign w:val="center"/>
          </w:tcPr>
          <w:p>
            <w:pPr>
              <w:pStyle w:val="TableContents"/>
              <w:bidi w:val="0"/>
              <w:spacing w:before="0" w:after="0"/>
              <w:jc w:val="left"/>
              <w:rPr/>
            </w:pPr>
            <w:r>
              <w:rPr/>
              <w:t>SECTION 5.08.</w:t>
            </w:r>
          </w:p>
        </w:tc>
        <w:tc>
          <w:tcPr>
            <w:tcW w:w="8320" w:type="dxa"/>
            <w:tcBorders/>
            <w:vAlign w:val="center"/>
          </w:tcPr>
          <w:p>
            <w:pPr>
              <w:pStyle w:val="TableContents"/>
              <w:bidi w:val="0"/>
              <w:spacing w:before="0" w:after="0"/>
              <w:jc w:val="left"/>
              <w:rPr/>
            </w:pPr>
            <w:r>
              <w:rPr/>
              <w:t>Notification of Certain Matters; Stockholder Litigation</w:t>
            </w:r>
          </w:p>
        </w:tc>
        <w:tc>
          <w:tcPr>
            <w:tcW w:w="275" w:type="dxa"/>
            <w:tcBorders/>
            <w:vAlign w:val="center"/>
          </w:tcPr>
          <w:p>
            <w:pPr>
              <w:pStyle w:val="TableContents"/>
              <w:bidi w:val="0"/>
              <w:spacing w:before="0" w:after="0"/>
              <w:jc w:val="right"/>
              <w:rPr/>
            </w:pPr>
            <w:r>
              <w:rPr/>
              <w:t>60</w:t>
            </w:r>
          </w:p>
        </w:tc>
      </w:tr>
      <w:tr>
        <w:trPr/>
        <w:tc>
          <w:tcPr>
            <w:tcW w:w="1610" w:type="dxa"/>
            <w:tcBorders/>
            <w:shd w:fill="CCEEFF" w:val="clear"/>
            <w:vAlign w:val="center"/>
          </w:tcPr>
          <w:p>
            <w:pPr>
              <w:pStyle w:val="TableContents"/>
              <w:bidi w:val="0"/>
              <w:spacing w:before="0" w:after="0"/>
              <w:jc w:val="left"/>
              <w:rPr/>
            </w:pPr>
            <w:r>
              <w:rPr/>
              <w:t>SECTION 5.09.</w:t>
            </w:r>
          </w:p>
        </w:tc>
        <w:tc>
          <w:tcPr>
            <w:tcW w:w="8320" w:type="dxa"/>
            <w:tcBorders/>
            <w:shd w:fill="CCEEFF" w:val="clear"/>
            <w:vAlign w:val="center"/>
          </w:tcPr>
          <w:p>
            <w:pPr>
              <w:pStyle w:val="TableContents"/>
              <w:bidi w:val="0"/>
              <w:spacing w:before="0" w:after="0"/>
              <w:jc w:val="left"/>
              <w:rPr/>
            </w:pPr>
            <w:r>
              <w:rPr/>
              <w:t>Merger Sub Expenditures and Distributions</w:t>
            </w:r>
          </w:p>
        </w:tc>
        <w:tc>
          <w:tcPr>
            <w:tcW w:w="275" w:type="dxa"/>
            <w:tcBorders/>
            <w:shd w:fill="CCEEFF" w:val="clear"/>
            <w:vAlign w:val="center"/>
          </w:tcPr>
          <w:p>
            <w:pPr>
              <w:pStyle w:val="TableContents"/>
              <w:bidi w:val="0"/>
              <w:spacing w:before="0" w:after="0"/>
              <w:jc w:val="right"/>
              <w:rPr/>
            </w:pPr>
            <w:r>
              <w:rPr/>
              <w:t>60</w:t>
            </w:r>
          </w:p>
        </w:tc>
      </w:tr>
      <w:tr>
        <w:trPr/>
        <w:tc>
          <w:tcPr>
            <w:tcW w:w="1610" w:type="dxa"/>
            <w:tcBorders/>
            <w:vAlign w:val="center"/>
          </w:tcPr>
          <w:p>
            <w:pPr>
              <w:pStyle w:val="TableContents"/>
              <w:bidi w:val="0"/>
              <w:spacing w:before="0" w:after="0"/>
              <w:jc w:val="left"/>
              <w:rPr/>
            </w:pPr>
            <w:r>
              <w:rPr/>
              <w:t>SECTION 5.10.</w:t>
            </w:r>
          </w:p>
        </w:tc>
        <w:tc>
          <w:tcPr>
            <w:tcW w:w="8320" w:type="dxa"/>
            <w:tcBorders/>
            <w:vAlign w:val="center"/>
          </w:tcPr>
          <w:p>
            <w:pPr>
              <w:pStyle w:val="TableContents"/>
              <w:bidi w:val="0"/>
              <w:spacing w:before="0" w:after="0"/>
              <w:jc w:val="left"/>
              <w:rPr/>
            </w:pPr>
            <w:r>
              <w:rPr/>
              <w:t>Parent Vote</w:t>
            </w:r>
          </w:p>
        </w:tc>
        <w:tc>
          <w:tcPr>
            <w:tcW w:w="275" w:type="dxa"/>
            <w:tcBorders/>
            <w:vAlign w:val="center"/>
          </w:tcPr>
          <w:p>
            <w:pPr>
              <w:pStyle w:val="TableContents"/>
              <w:bidi w:val="0"/>
              <w:spacing w:before="0" w:after="0"/>
              <w:jc w:val="right"/>
              <w:rPr/>
            </w:pPr>
            <w:r>
              <w:rPr/>
              <w:t>60</w:t>
            </w:r>
          </w:p>
        </w:tc>
      </w:tr>
      <w:tr>
        <w:trPr/>
        <w:tc>
          <w:tcPr>
            <w:tcW w:w="1610" w:type="dxa"/>
            <w:tcBorders/>
            <w:shd w:fill="CCEEFF" w:val="clear"/>
            <w:vAlign w:val="center"/>
          </w:tcPr>
          <w:p>
            <w:pPr>
              <w:pStyle w:val="TableContents"/>
              <w:bidi w:val="0"/>
              <w:spacing w:before="0" w:after="0"/>
              <w:jc w:val="left"/>
              <w:rPr/>
            </w:pPr>
            <w:r>
              <w:rPr/>
              <w:t>SECTION 5.11.</w:t>
            </w:r>
          </w:p>
        </w:tc>
        <w:tc>
          <w:tcPr>
            <w:tcW w:w="8320" w:type="dxa"/>
            <w:tcBorders/>
            <w:shd w:fill="CCEEFF" w:val="clear"/>
            <w:vAlign w:val="center"/>
          </w:tcPr>
          <w:p>
            <w:pPr>
              <w:pStyle w:val="TableContents"/>
              <w:bidi w:val="0"/>
              <w:spacing w:before="0" w:after="0"/>
              <w:jc w:val="left"/>
              <w:rPr/>
            </w:pPr>
            <w:r>
              <w:rPr/>
              <w:t>Stock Exchange De-listing</w:t>
            </w:r>
          </w:p>
        </w:tc>
        <w:tc>
          <w:tcPr>
            <w:tcW w:w="275" w:type="dxa"/>
            <w:tcBorders/>
            <w:shd w:fill="CCEEFF" w:val="clear"/>
            <w:vAlign w:val="center"/>
          </w:tcPr>
          <w:p>
            <w:pPr>
              <w:pStyle w:val="TableContents"/>
              <w:bidi w:val="0"/>
              <w:spacing w:before="0" w:after="0"/>
              <w:jc w:val="right"/>
              <w:rPr/>
            </w:pPr>
            <w:r>
              <w:rPr/>
              <w:t>61</w:t>
            </w:r>
          </w:p>
        </w:tc>
      </w:tr>
      <w:tr>
        <w:trPr/>
        <w:tc>
          <w:tcPr>
            <w:tcW w:w="1610" w:type="dxa"/>
            <w:tcBorders/>
            <w:vAlign w:val="center"/>
          </w:tcPr>
          <w:p>
            <w:pPr>
              <w:pStyle w:val="TableContents"/>
              <w:bidi w:val="0"/>
              <w:spacing w:before="0" w:after="0"/>
              <w:jc w:val="left"/>
              <w:rPr/>
            </w:pPr>
            <w:r>
              <w:rPr/>
              <w:t>SECTION 5.12.</w:t>
            </w:r>
          </w:p>
        </w:tc>
        <w:tc>
          <w:tcPr>
            <w:tcW w:w="8320" w:type="dxa"/>
            <w:tcBorders/>
            <w:vAlign w:val="center"/>
          </w:tcPr>
          <w:p>
            <w:pPr>
              <w:pStyle w:val="TableContents"/>
              <w:bidi w:val="0"/>
              <w:spacing w:before="0" w:after="0"/>
              <w:jc w:val="left"/>
              <w:rPr/>
            </w:pPr>
            <w:r>
              <w:rPr/>
              <w:t>Preparation of the Proxy Statement; Stockholders’ Meeting</w:t>
            </w:r>
          </w:p>
        </w:tc>
        <w:tc>
          <w:tcPr>
            <w:tcW w:w="275" w:type="dxa"/>
            <w:tcBorders/>
            <w:vAlign w:val="center"/>
          </w:tcPr>
          <w:p>
            <w:pPr>
              <w:pStyle w:val="TableContents"/>
              <w:bidi w:val="0"/>
              <w:spacing w:before="0" w:after="0"/>
              <w:jc w:val="right"/>
              <w:rPr/>
            </w:pPr>
            <w:r>
              <w:rPr/>
              <w:t>61</w:t>
            </w:r>
          </w:p>
        </w:tc>
      </w:tr>
      <w:tr>
        <w:trPr/>
        <w:tc>
          <w:tcPr>
            <w:tcW w:w="1610" w:type="dxa"/>
            <w:tcBorders/>
            <w:shd w:fill="CCEEFF" w:val="clear"/>
            <w:vAlign w:val="center"/>
          </w:tcPr>
          <w:p>
            <w:pPr>
              <w:pStyle w:val="TableContents"/>
              <w:bidi w:val="0"/>
              <w:spacing w:before="0" w:after="0"/>
              <w:jc w:val="left"/>
              <w:rPr/>
            </w:pPr>
            <w:r>
              <w:rPr/>
              <w:t>SECTION 5.13.</w:t>
            </w:r>
          </w:p>
        </w:tc>
        <w:tc>
          <w:tcPr>
            <w:tcW w:w="8320" w:type="dxa"/>
            <w:tcBorders/>
            <w:shd w:fill="CCEEFF" w:val="clear"/>
            <w:vAlign w:val="center"/>
          </w:tcPr>
          <w:p>
            <w:pPr>
              <w:pStyle w:val="TableContents"/>
              <w:bidi w:val="0"/>
              <w:spacing w:before="0" w:after="0"/>
              <w:jc w:val="left"/>
              <w:rPr/>
            </w:pPr>
            <w:r>
              <w:rPr/>
              <w:t>Section 16 Matters</w:t>
            </w:r>
          </w:p>
        </w:tc>
        <w:tc>
          <w:tcPr>
            <w:tcW w:w="275" w:type="dxa"/>
            <w:tcBorders/>
            <w:shd w:fill="CCEEFF" w:val="clear"/>
            <w:vAlign w:val="center"/>
          </w:tcPr>
          <w:p>
            <w:pPr>
              <w:pStyle w:val="TableContents"/>
              <w:bidi w:val="0"/>
              <w:spacing w:before="0" w:after="0"/>
              <w:jc w:val="right"/>
              <w:rPr/>
            </w:pPr>
            <w:r>
              <w:rPr/>
              <w:t>62</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ii</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b w:val="false"/>
          <w:color w:val="000000"/>
          <w:sz w:val="20"/>
          <w:u w:val="single"/>
        </w:rPr>
      </w:pPr>
      <w:r>
        <w:rPr>
          <w:rFonts w:ascii="Times New Roman" w:hAnsi="Times New Roman"/>
          <w:b w:val="false"/>
          <w:color w:val="000000"/>
          <w:sz w:val="20"/>
          <w:u w:val="single"/>
        </w:rPr>
        <w:t>TABLE OF CONTENTS</w:t>
      </w:r>
    </w:p>
    <w:p>
      <w:pPr>
        <w:pStyle w:val="TextBody"/>
        <w:bidi w:val="0"/>
        <w:spacing w:before="0" w:after="0"/>
        <w:jc w:val="center"/>
        <w:rPr>
          <w:rFonts w:ascii="Times New Roman" w:hAnsi="Times New Roman"/>
          <w:b w:val="false"/>
          <w:color w:val="000000"/>
          <w:sz w:val="20"/>
        </w:rPr>
      </w:pPr>
      <w:r>
        <w:rPr>
          <w:rFonts w:ascii="Times New Roman" w:hAnsi="Times New Roman"/>
          <w:b w:val="false"/>
          <w:color w:val="000000"/>
          <w:sz w:val="20"/>
        </w:rPr>
        <w:t>(continued)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right"/>
        <w:rPr>
          <w:rFonts w:ascii="Times New Roman" w:hAnsi="Times New Roman"/>
          <w:color w:val="000000"/>
          <w:sz w:val="20"/>
          <w:u w:val="single"/>
        </w:rPr>
      </w:pPr>
      <w:r>
        <w:rPr>
          <w:rFonts w:ascii="Times New Roman" w:hAnsi="Times New Roman"/>
          <w:color w:val="000000"/>
          <w:sz w:val="20"/>
          <w:u w:val="single"/>
        </w:rPr>
        <w:t>Page</w:t>
      </w:r>
    </w:p>
    <w:p>
      <w:pPr>
        <w:pStyle w:val="Normal"/>
        <w:bidi w:val="0"/>
        <w:spacing w:before="0" w:after="0"/>
        <w:jc w:val="left"/>
        <w:rPr>
          <w:sz w:val="4"/>
          <w:szCs w:val="4"/>
        </w:rPr>
      </w:pPr>
      <w:r>
        <w:rPr>
          <w:sz w:val="4"/>
          <w:szCs w:val="4"/>
        </w:rPr>
      </w:r>
      <w:bookmarkStart w:id="6" w:name="z11d8e6bad0424ff29ddcb483f6dd6961"/>
      <w:bookmarkStart w:id="7" w:name="z11d8e6bad0424ff29ddcb483f6dd6961"/>
      <w:bookmarkEnd w:id="7"/>
    </w:p>
    <w:tbl>
      <w:tblPr>
        <w:tblW w:w="7560" w:type="dxa"/>
        <w:jc w:val="left"/>
        <w:tblInd w:w="0" w:type="dxa"/>
        <w:tblLayout w:type="fixed"/>
        <w:tblCellMar>
          <w:top w:w="0" w:type="dxa"/>
          <w:left w:w="0" w:type="dxa"/>
          <w:bottom w:w="0" w:type="dxa"/>
          <w:right w:w="0" w:type="dxa"/>
        </w:tblCellMar>
      </w:tblPr>
      <w:tblGrid>
        <w:gridCol w:w="1610"/>
        <w:gridCol w:w="5675"/>
        <w:gridCol w:w="275"/>
      </w:tblGrid>
      <w:tr>
        <w:trPr/>
        <w:tc>
          <w:tcPr>
            <w:tcW w:w="7560" w:type="dxa"/>
            <w:gridSpan w:val="3"/>
            <w:tcBorders/>
            <w:vAlign w:val="center"/>
          </w:tcPr>
          <w:p>
            <w:pPr>
              <w:pStyle w:val="TableContents"/>
              <w:bidi w:val="0"/>
              <w:spacing w:before="0" w:after="0"/>
              <w:jc w:val="center"/>
              <w:rPr/>
            </w:pPr>
            <w:r>
              <w:rPr/>
              <w:t>ARTICLE VI</w:t>
            </w:r>
          </w:p>
        </w:tc>
      </w:tr>
      <w:tr>
        <w:trPr/>
        <w:tc>
          <w:tcPr>
            <w:tcW w:w="7560" w:type="dxa"/>
            <w:gridSpan w:val="3"/>
            <w:tcBorders/>
            <w:vAlign w:val="center"/>
          </w:tcPr>
          <w:p>
            <w:pPr>
              <w:pStyle w:val="TableContents"/>
              <w:bidi w:val="0"/>
              <w:spacing w:before="0" w:after="0"/>
              <w:jc w:val="center"/>
              <w:rPr/>
            </w:pPr>
            <w:r>
              <w:rPr/>
              <w:t>Conditions to the Merger</w:t>
            </w:r>
          </w:p>
        </w:tc>
      </w:tr>
      <w:tr>
        <w:trPr/>
        <w:tc>
          <w:tcPr>
            <w:tcW w:w="1610" w:type="dxa"/>
            <w:tcBorders/>
            <w:vAlign w:val="center"/>
          </w:tcPr>
          <w:p>
            <w:pPr>
              <w:pStyle w:val="TableContents"/>
              <w:bidi w:val="0"/>
              <w:spacing w:before="0" w:after="283"/>
              <w:jc w:val="left"/>
              <w:rPr/>
            </w:pPr>
            <w:r>
              <w:rPr/>
              <w:t> </w:t>
            </w:r>
          </w:p>
        </w:tc>
        <w:tc>
          <w:tcPr>
            <w:tcW w:w="56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r>
      <w:tr>
        <w:trPr/>
        <w:tc>
          <w:tcPr>
            <w:tcW w:w="1610" w:type="dxa"/>
            <w:tcBorders/>
            <w:shd w:fill="CCEEFF" w:val="clear"/>
            <w:vAlign w:val="center"/>
          </w:tcPr>
          <w:p>
            <w:pPr>
              <w:pStyle w:val="TableContents"/>
              <w:bidi w:val="0"/>
              <w:spacing w:before="0" w:after="0"/>
              <w:jc w:val="left"/>
              <w:rPr/>
            </w:pPr>
            <w:r>
              <w:rPr/>
              <w:t>SECTION 6.01.</w:t>
            </w:r>
          </w:p>
        </w:tc>
        <w:tc>
          <w:tcPr>
            <w:tcW w:w="5675" w:type="dxa"/>
            <w:tcBorders/>
            <w:shd w:fill="CCEEFF" w:val="clear"/>
            <w:vAlign w:val="center"/>
          </w:tcPr>
          <w:p>
            <w:pPr>
              <w:pStyle w:val="TableContents"/>
              <w:bidi w:val="0"/>
              <w:spacing w:before="0" w:after="0"/>
              <w:jc w:val="left"/>
              <w:rPr/>
            </w:pPr>
            <w:r>
              <w:rPr/>
              <w:t>Conditions to Each Party’s Obligation To Effect the Merger</w:t>
            </w:r>
          </w:p>
        </w:tc>
        <w:tc>
          <w:tcPr>
            <w:tcW w:w="275" w:type="dxa"/>
            <w:tcBorders/>
            <w:shd w:fill="CCEEFF" w:val="clear"/>
            <w:vAlign w:val="center"/>
          </w:tcPr>
          <w:p>
            <w:pPr>
              <w:pStyle w:val="TableContents"/>
              <w:bidi w:val="0"/>
              <w:spacing w:before="0" w:after="0"/>
              <w:jc w:val="right"/>
              <w:rPr/>
            </w:pPr>
            <w:r>
              <w:rPr/>
              <w:t>62</w:t>
            </w:r>
          </w:p>
        </w:tc>
      </w:tr>
      <w:tr>
        <w:trPr/>
        <w:tc>
          <w:tcPr>
            <w:tcW w:w="1610" w:type="dxa"/>
            <w:tcBorders/>
            <w:vAlign w:val="center"/>
          </w:tcPr>
          <w:p>
            <w:pPr>
              <w:pStyle w:val="TableContents"/>
              <w:bidi w:val="0"/>
              <w:spacing w:before="0" w:after="0"/>
              <w:jc w:val="left"/>
              <w:rPr/>
            </w:pPr>
            <w:r>
              <w:rPr/>
              <w:t>SECTION 6.02.</w:t>
            </w:r>
          </w:p>
        </w:tc>
        <w:tc>
          <w:tcPr>
            <w:tcW w:w="5675" w:type="dxa"/>
            <w:tcBorders/>
            <w:vAlign w:val="center"/>
          </w:tcPr>
          <w:p>
            <w:pPr>
              <w:pStyle w:val="TableContents"/>
              <w:bidi w:val="0"/>
              <w:spacing w:before="0" w:after="0"/>
              <w:jc w:val="left"/>
              <w:rPr/>
            </w:pPr>
            <w:r>
              <w:rPr/>
              <w:t>Conditions to the Obligations of Parent and Merger Sub</w:t>
            </w:r>
          </w:p>
        </w:tc>
        <w:tc>
          <w:tcPr>
            <w:tcW w:w="275" w:type="dxa"/>
            <w:tcBorders/>
            <w:vAlign w:val="center"/>
          </w:tcPr>
          <w:p>
            <w:pPr>
              <w:pStyle w:val="TableContents"/>
              <w:bidi w:val="0"/>
              <w:spacing w:before="0" w:after="0"/>
              <w:jc w:val="right"/>
              <w:rPr/>
            </w:pPr>
            <w:r>
              <w:rPr/>
              <w:t>63</w:t>
            </w:r>
          </w:p>
        </w:tc>
      </w:tr>
      <w:tr>
        <w:trPr/>
        <w:tc>
          <w:tcPr>
            <w:tcW w:w="1610" w:type="dxa"/>
            <w:tcBorders/>
            <w:shd w:fill="CCEEFF" w:val="clear"/>
            <w:vAlign w:val="center"/>
          </w:tcPr>
          <w:p>
            <w:pPr>
              <w:pStyle w:val="TableContents"/>
              <w:bidi w:val="0"/>
              <w:spacing w:before="0" w:after="0"/>
              <w:jc w:val="left"/>
              <w:rPr/>
            </w:pPr>
            <w:r>
              <w:rPr/>
              <w:t>SECTION 6.03.</w:t>
            </w:r>
          </w:p>
        </w:tc>
        <w:tc>
          <w:tcPr>
            <w:tcW w:w="5675" w:type="dxa"/>
            <w:tcBorders/>
            <w:shd w:fill="CCEEFF" w:val="clear"/>
            <w:vAlign w:val="center"/>
          </w:tcPr>
          <w:p>
            <w:pPr>
              <w:pStyle w:val="TableContents"/>
              <w:bidi w:val="0"/>
              <w:spacing w:before="0" w:after="0"/>
              <w:jc w:val="left"/>
              <w:rPr/>
            </w:pPr>
            <w:r>
              <w:rPr/>
              <w:t>Conditions to the Obligations of the Company</w:t>
            </w:r>
          </w:p>
        </w:tc>
        <w:tc>
          <w:tcPr>
            <w:tcW w:w="275" w:type="dxa"/>
            <w:tcBorders/>
            <w:shd w:fill="CCEEFF" w:val="clear"/>
            <w:vAlign w:val="center"/>
          </w:tcPr>
          <w:p>
            <w:pPr>
              <w:pStyle w:val="TableContents"/>
              <w:bidi w:val="0"/>
              <w:spacing w:before="0" w:after="0"/>
              <w:jc w:val="right"/>
              <w:rPr/>
            </w:pPr>
            <w:r>
              <w:rPr/>
              <w:t>64</w:t>
            </w:r>
          </w:p>
        </w:tc>
      </w:tr>
      <w:tr>
        <w:trPr/>
        <w:tc>
          <w:tcPr>
            <w:tcW w:w="1610" w:type="dxa"/>
            <w:tcBorders/>
            <w:vAlign w:val="center"/>
          </w:tcPr>
          <w:p>
            <w:pPr>
              <w:pStyle w:val="TableContents"/>
              <w:bidi w:val="0"/>
              <w:spacing w:before="0" w:after="0"/>
              <w:jc w:val="left"/>
              <w:rPr/>
            </w:pPr>
            <w:r>
              <w:rPr/>
              <w:t>SECTION 6.04.</w:t>
            </w:r>
          </w:p>
        </w:tc>
        <w:tc>
          <w:tcPr>
            <w:tcW w:w="5675" w:type="dxa"/>
            <w:tcBorders/>
            <w:vAlign w:val="center"/>
          </w:tcPr>
          <w:p>
            <w:pPr>
              <w:pStyle w:val="TableContents"/>
              <w:bidi w:val="0"/>
              <w:spacing w:before="0" w:after="0"/>
              <w:jc w:val="left"/>
              <w:rPr/>
            </w:pPr>
            <w:r>
              <w:rPr/>
              <w:t>Frustration of Conditions</w:t>
            </w:r>
          </w:p>
        </w:tc>
        <w:tc>
          <w:tcPr>
            <w:tcW w:w="275" w:type="dxa"/>
            <w:tcBorders/>
            <w:vAlign w:val="center"/>
          </w:tcPr>
          <w:p>
            <w:pPr>
              <w:pStyle w:val="TableContents"/>
              <w:bidi w:val="0"/>
              <w:spacing w:before="0" w:after="0"/>
              <w:jc w:val="right"/>
              <w:rPr/>
            </w:pPr>
            <w:r>
              <w:rPr/>
              <w:t>64</w:t>
            </w:r>
          </w:p>
        </w:tc>
      </w:tr>
      <w:tr>
        <w:trPr/>
        <w:tc>
          <w:tcPr>
            <w:tcW w:w="1610" w:type="dxa"/>
            <w:tcBorders/>
            <w:shd w:fill="CCEEFF" w:val="clear"/>
            <w:vAlign w:val="center"/>
          </w:tcPr>
          <w:p>
            <w:pPr>
              <w:pStyle w:val="TableContents"/>
              <w:bidi w:val="0"/>
              <w:spacing w:before="0" w:after="0"/>
              <w:jc w:val="left"/>
              <w:rPr/>
            </w:pPr>
            <w:r>
              <w:rPr/>
              <w:t>SECTION 6.05.</w:t>
            </w:r>
          </w:p>
        </w:tc>
        <w:tc>
          <w:tcPr>
            <w:tcW w:w="5675" w:type="dxa"/>
            <w:tcBorders/>
            <w:shd w:fill="CCEEFF" w:val="clear"/>
            <w:vAlign w:val="center"/>
          </w:tcPr>
          <w:p>
            <w:pPr>
              <w:pStyle w:val="TableContents"/>
              <w:bidi w:val="0"/>
              <w:spacing w:before="0" w:after="0"/>
              <w:jc w:val="left"/>
              <w:rPr/>
            </w:pPr>
            <w:r>
              <w:rPr/>
              <w:t>Waiver of Conditions</w:t>
            </w:r>
          </w:p>
        </w:tc>
        <w:tc>
          <w:tcPr>
            <w:tcW w:w="275" w:type="dxa"/>
            <w:tcBorders/>
            <w:shd w:fill="CCEEFF" w:val="clear"/>
            <w:vAlign w:val="center"/>
          </w:tcPr>
          <w:p>
            <w:pPr>
              <w:pStyle w:val="TableContents"/>
              <w:bidi w:val="0"/>
              <w:spacing w:before="0" w:after="0"/>
              <w:jc w:val="right"/>
              <w:rPr/>
            </w:pPr>
            <w:r>
              <w:rPr/>
              <w:t>64</w:t>
            </w:r>
          </w:p>
        </w:tc>
      </w:tr>
      <w:tr>
        <w:trPr/>
        <w:tc>
          <w:tcPr>
            <w:tcW w:w="1610" w:type="dxa"/>
            <w:tcBorders/>
            <w:vAlign w:val="center"/>
          </w:tcPr>
          <w:p>
            <w:pPr>
              <w:pStyle w:val="TableContents"/>
              <w:bidi w:val="0"/>
              <w:spacing w:before="0" w:after="283"/>
              <w:jc w:val="left"/>
              <w:rPr/>
            </w:pPr>
            <w:r>
              <w:rPr/>
              <w:t> </w:t>
            </w:r>
          </w:p>
        </w:tc>
        <w:tc>
          <w:tcPr>
            <w:tcW w:w="56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r>
      <w:tr>
        <w:trPr/>
        <w:tc>
          <w:tcPr>
            <w:tcW w:w="7560" w:type="dxa"/>
            <w:gridSpan w:val="3"/>
            <w:tcBorders/>
            <w:vAlign w:val="center"/>
          </w:tcPr>
          <w:p>
            <w:pPr>
              <w:pStyle w:val="TableContents"/>
              <w:bidi w:val="0"/>
              <w:spacing w:before="0" w:after="0"/>
              <w:jc w:val="center"/>
              <w:rPr/>
            </w:pPr>
            <w:r>
              <w:rPr/>
              <w:t>ARTICLE VII</w:t>
            </w:r>
          </w:p>
        </w:tc>
      </w:tr>
      <w:tr>
        <w:trPr/>
        <w:tc>
          <w:tcPr>
            <w:tcW w:w="7560" w:type="dxa"/>
            <w:gridSpan w:val="3"/>
            <w:tcBorders/>
            <w:vAlign w:val="center"/>
          </w:tcPr>
          <w:p>
            <w:pPr>
              <w:pStyle w:val="TableContents"/>
              <w:bidi w:val="0"/>
              <w:spacing w:before="0" w:after="0"/>
              <w:jc w:val="center"/>
              <w:rPr/>
            </w:pPr>
            <w:r>
              <w:rPr/>
              <w:t>Termination</w:t>
            </w:r>
          </w:p>
        </w:tc>
      </w:tr>
      <w:tr>
        <w:trPr/>
        <w:tc>
          <w:tcPr>
            <w:tcW w:w="1610" w:type="dxa"/>
            <w:tcBorders/>
            <w:vAlign w:val="center"/>
          </w:tcPr>
          <w:p>
            <w:pPr>
              <w:pStyle w:val="TableContents"/>
              <w:bidi w:val="0"/>
              <w:spacing w:before="0" w:after="283"/>
              <w:jc w:val="left"/>
              <w:rPr/>
            </w:pPr>
            <w:r>
              <w:rPr/>
              <w:t> </w:t>
            </w:r>
          </w:p>
        </w:tc>
        <w:tc>
          <w:tcPr>
            <w:tcW w:w="56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r>
      <w:tr>
        <w:trPr/>
        <w:tc>
          <w:tcPr>
            <w:tcW w:w="1610" w:type="dxa"/>
            <w:tcBorders/>
            <w:shd w:fill="CCEEFF" w:val="clear"/>
            <w:vAlign w:val="center"/>
          </w:tcPr>
          <w:p>
            <w:pPr>
              <w:pStyle w:val="TableContents"/>
              <w:bidi w:val="0"/>
              <w:spacing w:before="0" w:after="0"/>
              <w:jc w:val="left"/>
              <w:rPr/>
            </w:pPr>
            <w:r>
              <w:rPr/>
              <w:t>SECTION 7.01.</w:t>
            </w:r>
          </w:p>
        </w:tc>
        <w:tc>
          <w:tcPr>
            <w:tcW w:w="5675" w:type="dxa"/>
            <w:tcBorders/>
            <w:shd w:fill="CCEEFF" w:val="clear"/>
            <w:vAlign w:val="center"/>
          </w:tcPr>
          <w:p>
            <w:pPr>
              <w:pStyle w:val="TableContents"/>
              <w:bidi w:val="0"/>
              <w:spacing w:before="0" w:after="0"/>
              <w:jc w:val="left"/>
              <w:rPr/>
            </w:pPr>
            <w:r>
              <w:rPr/>
              <w:t>Termination</w:t>
            </w:r>
          </w:p>
        </w:tc>
        <w:tc>
          <w:tcPr>
            <w:tcW w:w="275" w:type="dxa"/>
            <w:tcBorders/>
            <w:shd w:fill="CCEEFF" w:val="clear"/>
            <w:vAlign w:val="center"/>
          </w:tcPr>
          <w:p>
            <w:pPr>
              <w:pStyle w:val="TableContents"/>
              <w:bidi w:val="0"/>
              <w:spacing w:before="0" w:after="0"/>
              <w:jc w:val="right"/>
              <w:rPr/>
            </w:pPr>
            <w:r>
              <w:rPr/>
              <w:t>64</w:t>
            </w:r>
          </w:p>
        </w:tc>
      </w:tr>
      <w:tr>
        <w:trPr/>
        <w:tc>
          <w:tcPr>
            <w:tcW w:w="1610" w:type="dxa"/>
            <w:tcBorders/>
            <w:vAlign w:val="center"/>
          </w:tcPr>
          <w:p>
            <w:pPr>
              <w:pStyle w:val="TableContents"/>
              <w:bidi w:val="0"/>
              <w:spacing w:before="0" w:after="0"/>
              <w:jc w:val="left"/>
              <w:rPr/>
            </w:pPr>
            <w:r>
              <w:rPr/>
              <w:t>SECTION 7.02.</w:t>
            </w:r>
          </w:p>
        </w:tc>
        <w:tc>
          <w:tcPr>
            <w:tcW w:w="5675" w:type="dxa"/>
            <w:tcBorders/>
            <w:vAlign w:val="center"/>
          </w:tcPr>
          <w:p>
            <w:pPr>
              <w:pStyle w:val="TableContents"/>
              <w:bidi w:val="0"/>
              <w:spacing w:before="0" w:after="0"/>
              <w:jc w:val="left"/>
              <w:rPr/>
            </w:pPr>
            <w:r>
              <w:rPr/>
              <w:t>Effect of Termination</w:t>
            </w:r>
          </w:p>
        </w:tc>
        <w:tc>
          <w:tcPr>
            <w:tcW w:w="275" w:type="dxa"/>
            <w:tcBorders/>
            <w:vAlign w:val="center"/>
          </w:tcPr>
          <w:p>
            <w:pPr>
              <w:pStyle w:val="TableContents"/>
              <w:bidi w:val="0"/>
              <w:spacing w:before="0" w:after="0"/>
              <w:jc w:val="right"/>
              <w:rPr/>
            </w:pPr>
            <w:r>
              <w:rPr/>
              <w:t>66</w:t>
            </w:r>
          </w:p>
        </w:tc>
      </w:tr>
      <w:tr>
        <w:trPr/>
        <w:tc>
          <w:tcPr>
            <w:tcW w:w="1610" w:type="dxa"/>
            <w:tcBorders/>
            <w:shd w:fill="CCEEFF" w:val="clear"/>
            <w:vAlign w:val="center"/>
          </w:tcPr>
          <w:p>
            <w:pPr>
              <w:pStyle w:val="TableContents"/>
              <w:bidi w:val="0"/>
              <w:spacing w:before="0" w:after="0"/>
              <w:jc w:val="left"/>
              <w:rPr/>
            </w:pPr>
            <w:r>
              <w:rPr/>
              <w:t>SECTION 7.03.</w:t>
            </w:r>
          </w:p>
        </w:tc>
        <w:tc>
          <w:tcPr>
            <w:tcW w:w="5675" w:type="dxa"/>
            <w:tcBorders/>
            <w:shd w:fill="CCEEFF" w:val="clear"/>
            <w:vAlign w:val="center"/>
          </w:tcPr>
          <w:p>
            <w:pPr>
              <w:pStyle w:val="TableContents"/>
              <w:bidi w:val="0"/>
              <w:spacing w:before="0" w:after="0"/>
              <w:jc w:val="left"/>
              <w:rPr/>
            </w:pPr>
            <w:r>
              <w:rPr/>
              <w:t>Termination Fee</w:t>
            </w:r>
          </w:p>
        </w:tc>
        <w:tc>
          <w:tcPr>
            <w:tcW w:w="275" w:type="dxa"/>
            <w:tcBorders/>
            <w:shd w:fill="CCEEFF" w:val="clear"/>
            <w:vAlign w:val="center"/>
          </w:tcPr>
          <w:p>
            <w:pPr>
              <w:pStyle w:val="TableContents"/>
              <w:bidi w:val="0"/>
              <w:spacing w:before="0" w:after="0"/>
              <w:jc w:val="right"/>
              <w:rPr/>
            </w:pPr>
            <w:r>
              <w:rPr/>
              <w:t>66</w:t>
            </w:r>
          </w:p>
        </w:tc>
      </w:tr>
      <w:tr>
        <w:trPr/>
        <w:tc>
          <w:tcPr>
            <w:tcW w:w="1610" w:type="dxa"/>
            <w:tcBorders/>
            <w:vAlign w:val="center"/>
          </w:tcPr>
          <w:p>
            <w:pPr>
              <w:pStyle w:val="TableContents"/>
              <w:bidi w:val="0"/>
              <w:spacing w:before="0" w:after="283"/>
              <w:jc w:val="left"/>
              <w:rPr/>
            </w:pPr>
            <w:r>
              <w:rPr/>
              <w:t> </w:t>
            </w:r>
          </w:p>
        </w:tc>
        <w:tc>
          <w:tcPr>
            <w:tcW w:w="56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r>
      <w:tr>
        <w:trPr/>
        <w:tc>
          <w:tcPr>
            <w:tcW w:w="7560" w:type="dxa"/>
            <w:gridSpan w:val="3"/>
            <w:tcBorders/>
            <w:vAlign w:val="center"/>
          </w:tcPr>
          <w:p>
            <w:pPr>
              <w:pStyle w:val="TableContents"/>
              <w:bidi w:val="0"/>
              <w:spacing w:before="0" w:after="0"/>
              <w:jc w:val="center"/>
              <w:rPr/>
            </w:pPr>
            <w:r>
              <w:rPr/>
              <w:t>ARTICLE VIII</w:t>
            </w:r>
          </w:p>
        </w:tc>
      </w:tr>
      <w:tr>
        <w:trPr/>
        <w:tc>
          <w:tcPr>
            <w:tcW w:w="7560" w:type="dxa"/>
            <w:gridSpan w:val="3"/>
            <w:tcBorders/>
            <w:vAlign w:val="center"/>
          </w:tcPr>
          <w:p>
            <w:pPr>
              <w:pStyle w:val="TableContents"/>
              <w:bidi w:val="0"/>
              <w:spacing w:before="0" w:after="0"/>
              <w:jc w:val="center"/>
              <w:rPr/>
            </w:pPr>
            <w:r>
              <w:rPr/>
              <w:t>Miscellaneous</w:t>
            </w:r>
          </w:p>
        </w:tc>
      </w:tr>
      <w:tr>
        <w:trPr/>
        <w:tc>
          <w:tcPr>
            <w:tcW w:w="1610" w:type="dxa"/>
            <w:tcBorders/>
            <w:vAlign w:val="center"/>
          </w:tcPr>
          <w:p>
            <w:pPr>
              <w:pStyle w:val="TableContents"/>
              <w:bidi w:val="0"/>
              <w:spacing w:before="0" w:after="283"/>
              <w:jc w:val="left"/>
              <w:rPr/>
            </w:pPr>
            <w:r>
              <w:rPr/>
              <w:t> </w:t>
            </w:r>
          </w:p>
        </w:tc>
        <w:tc>
          <w:tcPr>
            <w:tcW w:w="56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r>
      <w:tr>
        <w:trPr/>
        <w:tc>
          <w:tcPr>
            <w:tcW w:w="1610" w:type="dxa"/>
            <w:tcBorders/>
            <w:shd w:fill="CCEEFF" w:val="clear"/>
            <w:vAlign w:val="center"/>
          </w:tcPr>
          <w:p>
            <w:pPr>
              <w:pStyle w:val="TableContents"/>
              <w:bidi w:val="0"/>
              <w:spacing w:before="0" w:after="0"/>
              <w:jc w:val="left"/>
              <w:rPr/>
            </w:pPr>
            <w:r>
              <w:rPr/>
              <w:t>SECTION 8.01.</w:t>
            </w:r>
          </w:p>
        </w:tc>
        <w:tc>
          <w:tcPr>
            <w:tcW w:w="5675" w:type="dxa"/>
            <w:tcBorders/>
            <w:shd w:fill="CCEEFF" w:val="clear"/>
            <w:vAlign w:val="center"/>
          </w:tcPr>
          <w:p>
            <w:pPr>
              <w:pStyle w:val="TableContents"/>
              <w:bidi w:val="0"/>
              <w:spacing w:before="0" w:after="0"/>
              <w:jc w:val="left"/>
              <w:rPr/>
            </w:pPr>
            <w:r>
              <w:rPr/>
              <w:t>No Survival of Representations and Warranties</w:t>
            </w:r>
          </w:p>
        </w:tc>
        <w:tc>
          <w:tcPr>
            <w:tcW w:w="275" w:type="dxa"/>
            <w:tcBorders/>
            <w:shd w:fill="CCEEFF" w:val="clear"/>
            <w:vAlign w:val="center"/>
          </w:tcPr>
          <w:p>
            <w:pPr>
              <w:pStyle w:val="TableContents"/>
              <w:bidi w:val="0"/>
              <w:spacing w:before="0" w:after="0"/>
              <w:jc w:val="right"/>
              <w:rPr/>
            </w:pPr>
            <w:r>
              <w:rPr/>
              <w:t>68</w:t>
            </w:r>
          </w:p>
        </w:tc>
      </w:tr>
      <w:tr>
        <w:trPr/>
        <w:tc>
          <w:tcPr>
            <w:tcW w:w="1610" w:type="dxa"/>
            <w:tcBorders/>
            <w:vAlign w:val="center"/>
          </w:tcPr>
          <w:p>
            <w:pPr>
              <w:pStyle w:val="TableContents"/>
              <w:bidi w:val="0"/>
              <w:spacing w:before="0" w:after="0"/>
              <w:jc w:val="left"/>
              <w:rPr/>
            </w:pPr>
            <w:r>
              <w:rPr/>
              <w:t>SECTION 8.02.</w:t>
            </w:r>
          </w:p>
        </w:tc>
        <w:tc>
          <w:tcPr>
            <w:tcW w:w="5675" w:type="dxa"/>
            <w:tcBorders/>
            <w:vAlign w:val="center"/>
          </w:tcPr>
          <w:p>
            <w:pPr>
              <w:pStyle w:val="TableContents"/>
              <w:bidi w:val="0"/>
              <w:spacing w:before="0" w:after="0"/>
              <w:jc w:val="left"/>
              <w:rPr/>
            </w:pPr>
            <w:r>
              <w:rPr/>
              <w:t>Amendment or Supplement</w:t>
            </w:r>
          </w:p>
        </w:tc>
        <w:tc>
          <w:tcPr>
            <w:tcW w:w="275" w:type="dxa"/>
            <w:tcBorders/>
            <w:vAlign w:val="center"/>
          </w:tcPr>
          <w:p>
            <w:pPr>
              <w:pStyle w:val="TableContents"/>
              <w:bidi w:val="0"/>
              <w:spacing w:before="0" w:after="0"/>
              <w:jc w:val="right"/>
              <w:rPr/>
            </w:pPr>
            <w:r>
              <w:rPr/>
              <w:t>68</w:t>
            </w:r>
          </w:p>
        </w:tc>
      </w:tr>
      <w:tr>
        <w:trPr/>
        <w:tc>
          <w:tcPr>
            <w:tcW w:w="1610" w:type="dxa"/>
            <w:tcBorders/>
            <w:shd w:fill="CCEEFF" w:val="clear"/>
            <w:vAlign w:val="center"/>
          </w:tcPr>
          <w:p>
            <w:pPr>
              <w:pStyle w:val="TableContents"/>
              <w:bidi w:val="0"/>
              <w:spacing w:before="0" w:after="0"/>
              <w:jc w:val="left"/>
              <w:rPr/>
            </w:pPr>
            <w:r>
              <w:rPr/>
              <w:t>SECTION 8.03.</w:t>
            </w:r>
          </w:p>
        </w:tc>
        <w:tc>
          <w:tcPr>
            <w:tcW w:w="5675" w:type="dxa"/>
            <w:tcBorders/>
            <w:shd w:fill="CCEEFF" w:val="clear"/>
            <w:vAlign w:val="center"/>
          </w:tcPr>
          <w:p>
            <w:pPr>
              <w:pStyle w:val="TableContents"/>
              <w:bidi w:val="0"/>
              <w:spacing w:before="0" w:after="0"/>
              <w:jc w:val="left"/>
              <w:rPr/>
            </w:pPr>
            <w:r>
              <w:rPr/>
              <w:t>Extension of Time, Waiver, etc.</w:t>
            </w:r>
          </w:p>
        </w:tc>
        <w:tc>
          <w:tcPr>
            <w:tcW w:w="275" w:type="dxa"/>
            <w:tcBorders/>
            <w:shd w:fill="CCEEFF" w:val="clear"/>
            <w:vAlign w:val="center"/>
          </w:tcPr>
          <w:p>
            <w:pPr>
              <w:pStyle w:val="TableContents"/>
              <w:bidi w:val="0"/>
              <w:spacing w:before="0" w:after="0"/>
              <w:jc w:val="right"/>
              <w:rPr/>
            </w:pPr>
            <w:r>
              <w:rPr/>
              <w:t>68</w:t>
            </w:r>
          </w:p>
        </w:tc>
      </w:tr>
      <w:tr>
        <w:trPr/>
        <w:tc>
          <w:tcPr>
            <w:tcW w:w="1610" w:type="dxa"/>
            <w:tcBorders/>
            <w:vAlign w:val="center"/>
          </w:tcPr>
          <w:p>
            <w:pPr>
              <w:pStyle w:val="TableContents"/>
              <w:bidi w:val="0"/>
              <w:spacing w:before="0" w:after="0"/>
              <w:jc w:val="left"/>
              <w:rPr/>
            </w:pPr>
            <w:r>
              <w:rPr/>
              <w:t>SECTION 8.04.</w:t>
            </w:r>
          </w:p>
        </w:tc>
        <w:tc>
          <w:tcPr>
            <w:tcW w:w="5675" w:type="dxa"/>
            <w:tcBorders/>
            <w:vAlign w:val="center"/>
          </w:tcPr>
          <w:p>
            <w:pPr>
              <w:pStyle w:val="TableContents"/>
              <w:bidi w:val="0"/>
              <w:spacing w:before="0" w:after="0"/>
              <w:jc w:val="left"/>
              <w:rPr/>
            </w:pPr>
            <w:r>
              <w:rPr/>
              <w:t>Assignment</w:t>
            </w:r>
          </w:p>
        </w:tc>
        <w:tc>
          <w:tcPr>
            <w:tcW w:w="275" w:type="dxa"/>
            <w:tcBorders/>
            <w:vAlign w:val="center"/>
          </w:tcPr>
          <w:p>
            <w:pPr>
              <w:pStyle w:val="TableContents"/>
              <w:bidi w:val="0"/>
              <w:spacing w:before="0" w:after="0"/>
              <w:jc w:val="right"/>
              <w:rPr/>
            </w:pPr>
            <w:r>
              <w:rPr/>
              <w:t>69</w:t>
            </w:r>
          </w:p>
        </w:tc>
      </w:tr>
      <w:tr>
        <w:trPr/>
        <w:tc>
          <w:tcPr>
            <w:tcW w:w="1610" w:type="dxa"/>
            <w:tcBorders/>
            <w:shd w:fill="CCEEFF" w:val="clear"/>
            <w:vAlign w:val="center"/>
          </w:tcPr>
          <w:p>
            <w:pPr>
              <w:pStyle w:val="TableContents"/>
              <w:bidi w:val="0"/>
              <w:spacing w:before="0" w:after="0"/>
              <w:jc w:val="left"/>
              <w:rPr/>
            </w:pPr>
            <w:r>
              <w:rPr/>
              <w:t>SECTION 8.05.</w:t>
            </w:r>
          </w:p>
        </w:tc>
        <w:tc>
          <w:tcPr>
            <w:tcW w:w="5675" w:type="dxa"/>
            <w:tcBorders/>
            <w:shd w:fill="CCEEFF" w:val="clear"/>
            <w:vAlign w:val="center"/>
          </w:tcPr>
          <w:p>
            <w:pPr>
              <w:pStyle w:val="TableContents"/>
              <w:bidi w:val="0"/>
              <w:spacing w:before="0" w:after="0"/>
              <w:jc w:val="left"/>
              <w:rPr/>
            </w:pPr>
            <w:r>
              <w:rPr/>
              <w:t>Counterparts</w:t>
            </w:r>
          </w:p>
        </w:tc>
        <w:tc>
          <w:tcPr>
            <w:tcW w:w="275" w:type="dxa"/>
            <w:tcBorders/>
            <w:shd w:fill="CCEEFF" w:val="clear"/>
            <w:vAlign w:val="center"/>
          </w:tcPr>
          <w:p>
            <w:pPr>
              <w:pStyle w:val="TableContents"/>
              <w:bidi w:val="0"/>
              <w:spacing w:before="0" w:after="0"/>
              <w:jc w:val="right"/>
              <w:rPr/>
            </w:pPr>
            <w:r>
              <w:rPr/>
              <w:t>69</w:t>
            </w:r>
          </w:p>
        </w:tc>
      </w:tr>
      <w:tr>
        <w:trPr/>
        <w:tc>
          <w:tcPr>
            <w:tcW w:w="1610" w:type="dxa"/>
            <w:tcBorders/>
            <w:vAlign w:val="center"/>
          </w:tcPr>
          <w:p>
            <w:pPr>
              <w:pStyle w:val="TableContents"/>
              <w:bidi w:val="0"/>
              <w:spacing w:before="0" w:after="0"/>
              <w:jc w:val="left"/>
              <w:rPr/>
            </w:pPr>
            <w:r>
              <w:rPr/>
              <w:t>SECTION 8.06.</w:t>
            </w:r>
          </w:p>
        </w:tc>
        <w:tc>
          <w:tcPr>
            <w:tcW w:w="5675" w:type="dxa"/>
            <w:tcBorders/>
            <w:vAlign w:val="center"/>
          </w:tcPr>
          <w:p>
            <w:pPr>
              <w:pStyle w:val="TableContents"/>
              <w:bidi w:val="0"/>
              <w:spacing w:before="0" w:after="0"/>
              <w:jc w:val="left"/>
              <w:rPr/>
            </w:pPr>
            <w:r>
              <w:rPr/>
              <w:t>Entire Agreement; No Third-Party Beneficiaries</w:t>
            </w:r>
          </w:p>
        </w:tc>
        <w:tc>
          <w:tcPr>
            <w:tcW w:w="275" w:type="dxa"/>
            <w:tcBorders/>
            <w:vAlign w:val="center"/>
          </w:tcPr>
          <w:p>
            <w:pPr>
              <w:pStyle w:val="TableContents"/>
              <w:bidi w:val="0"/>
              <w:spacing w:before="0" w:after="0"/>
              <w:jc w:val="right"/>
              <w:rPr/>
            </w:pPr>
            <w:r>
              <w:rPr/>
              <w:t>69</w:t>
            </w:r>
          </w:p>
        </w:tc>
      </w:tr>
      <w:tr>
        <w:trPr/>
        <w:tc>
          <w:tcPr>
            <w:tcW w:w="1610" w:type="dxa"/>
            <w:tcBorders/>
            <w:shd w:fill="CCEEFF" w:val="clear"/>
            <w:vAlign w:val="center"/>
          </w:tcPr>
          <w:p>
            <w:pPr>
              <w:pStyle w:val="TableContents"/>
              <w:bidi w:val="0"/>
              <w:spacing w:before="0" w:after="0"/>
              <w:jc w:val="left"/>
              <w:rPr/>
            </w:pPr>
            <w:r>
              <w:rPr/>
              <w:t>SECTION 8.07.</w:t>
            </w:r>
          </w:p>
        </w:tc>
        <w:tc>
          <w:tcPr>
            <w:tcW w:w="5675" w:type="dxa"/>
            <w:tcBorders/>
            <w:shd w:fill="CCEEFF" w:val="clear"/>
            <w:vAlign w:val="center"/>
          </w:tcPr>
          <w:p>
            <w:pPr>
              <w:pStyle w:val="TableContents"/>
              <w:bidi w:val="0"/>
              <w:spacing w:before="0" w:after="0"/>
              <w:jc w:val="left"/>
              <w:rPr/>
            </w:pPr>
            <w:r>
              <w:rPr/>
              <w:t>Governing Law; Jurisdiction</w:t>
            </w:r>
          </w:p>
        </w:tc>
        <w:tc>
          <w:tcPr>
            <w:tcW w:w="275" w:type="dxa"/>
            <w:tcBorders/>
            <w:shd w:fill="CCEEFF" w:val="clear"/>
            <w:vAlign w:val="center"/>
          </w:tcPr>
          <w:p>
            <w:pPr>
              <w:pStyle w:val="TableContents"/>
              <w:bidi w:val="0"/>
              <w:spacing w:before="0" w:after="0"/>
              <w:jc w:val="right"/>
              <w:rPr/>
            </w:pPr>
            <w:r>
              <w:rPr/>
              <w:t>70</w:t>
            </w:r>
          </w:p>
        </w:tc>
      </w:tr>
      <w:tr>
        <w:trPr/>
        <w:tc>
          <w:tcPr>
            <w:tcW w:w="1610" w:type="dxa"/>
            <w:tcBorders/>
            <w:vAlign w:val="center"/>
          </w:tcPr>
          <w:p>
            <w:pPr>
              <w:pStyle w:val="TableContents"/>
              <w:bidi w:val="0"/>
              <w:spacing w:before="0" w:after="0"/>
              <w:jc w:val="left"/>
              <w:rPr/>
            </w:pPr>
            <w:r>
              <w:rPr/>
              <w:t>SECTION 8.08.</w:t>
            </w:r>
          </w:p>
        </w:tc>
        <w:tc>
          <w:tcPr>
            <w:tcW w:w="5675" w:type="dxa"/>
            <w:tcBorders/>
            <w:vAlign w:val="center"/>
          </w:tcPr>
          <w:p>
            <w:pPr>
              <w:pStyle w:val="TableContents"/>
              <w:bidi w:val="0"/>
              <w:spacing w:before="0" w:after="0"/>
              <w:jc w:val="left"/>
              <w:rPr/>
            </w:pPr>
            <w:r>
              <w:rPr/>
              <w:t>Specific Enforcement</w:t>
            </w:r>
          </w:p>
        </w:tc>
        <w:tc>
          <w:tcPr>
            <w:tcW w:w="275" w:type="dxa"/>
            <w:tcBorders/>
            <w:vAlign w:val="center"/>
          </w:tcPr>
          <w:p>
            <w:pPr>
              <w:pStyle w:val="TableContents"/>
              <w:bidi w:val="0"/>
              <w:spacing w:before="0" w:after="0"/>
              <w:jc w:val="right"/>
              <w:rPr/>
            </w:pPr>
            <w:r>
              <w:rPr/>
              <w:t>71</w:t>
            </w:r>
          </w:p>
        </w:tc>
      </w:tr>
      <w:tr>
        <w:trPr/>
        <w:tc>
          <w:tcPr>
            <w:tcW w:w="1610" w:type="dxa"/>
            <w:tcBorders/>
            <w:shd w:fill="CCEEFF" w:val="clear"/>
            <w:vAlign w:val="center"/>
          </w:tcPr>
          <w:p>
            <w:pPr>
              <w:pStyle w:val="TableContents"/>
              <w:bidi w:val="0"/>
              <w:spacing w:before="0" w:after="0"/>
              <w:jc w:val="left"/>
              <w:rPr/>
            </w:pPr>
            <w:r>
              <w:rPr/>
              <w:t>SECTION 8.09.</w:t>
            </w:r>
          </w:p>
        </w:tc>
        <w:tc>
          <w:tcPr>
            <w:tcW w:w="5675" w:type="dxa"/>
            <w:tcBorders/>
            <w:shd w:fill="CCEEFF" w:val="clear"/>
            <w:vAlign w:val="center"/>
          </w:tcPr>
          <w:p>
            <w:pPr>
              <w:pStyle w:val="TableContents"/>
              <w:bidi w:val="0"/>
              <w:spacing w:before="0" w:after="0"/>
              <w:jc w:val="left"/>
              <w:rPr/>
            </w:pPr>
            <w:r>
              <w:rPr/>
              <w:t>WAIVER OF JURY TRIAL</w:t>
            </w:r>
          </w:p>
        </w:tc>
        <w:tc>
          <w:tcPr>
            <w:tcW w:w="275" w:type="dxa"/>
            <w:tcBorders/>
            <w:shd w:fill="CCEEFF" w:val="clear"/>
            <w:vAlign w:val="center"/>
          </w:tcPr>
          <w:p>
            <w:pPr>
              <w:pStyle w:val="TableContents"/>
              <w:bidi w:val="0"/>
              <w:spacing w:before="0" w:after="0"/>
              <w:jc w:val="right"/>
              <w:rPr/>
            </w:pPr>
            <w:r>
              <w:rPr/>
              <w:t>71</w:t>
            </w:r>
          </w:p>
        </w:tc>
      </w:tr>
      <w:tr>
        <w:trPr/>
        <w:tc>
          <w:tcPr>
            <w:tcW w:w="1610" w:type="dxa"/>
            <w:tcBorders/>
            <w:vAlign w:val="center"/>
          </w:tcPr>
          <w:p>
            <w:pPr>
              <w:pStyle w:val="TableContents"/>
              <w:bidi w:val="0"/>
              <w:spacing w:before="0" w:after="0"/>
              <w:jc w:val="left"/>
              <w:rPr/>
            </w:pPr>
            <w:r>
              <w:rPr/>
              <w:t>SECTION 8.10.</w:t>
            </w:r>
          </w:p>
        </w:tc>
        <w:tc>
          <w:tcPr>
            <w:tcW w:w="5675" w:type="dxa"/>
            <w:tcBorders/>
            <w:vAlign w:val="center"/>
          </w:tcPr>
          <w:p>
            <w:pPr>
              <w:pStyle w:val="TableContents"/>
              <w:bidi w:val="0"/>
              <w:spacing w:before="0" w:after="0"/>
              <w:jc w:val="left"/>
              <w:rPr/>
            </w:pPr>
            <w:r>
              <w:rPr/>
              <w:t>Notices</w:t>
            </w:r>
          </w:p>
        </w:tc>
        <w:tc>
          <w:tcPr>
            <w:tcW w:w="275" w:type="dxa"/>
            <w:tcBorders/>
            <w:vAlign w:val="center"/>
          </w:tcPr>
          <w:p>
            <w:pPr>
              <w:pStyle w:val="TableContents"/>
              <w:bidi w:val="0"/>
              <w:spacing w:before="0" w:after="0"/>
              <w:jc w:val="right"/>
              <w:rPr/>
            </w:pPr>
            <w:r>
              <w:rPr/>
              <w:t>72</w:t>
            </w:r>
          </w:p>
        </w:tc>
      </w:tr>
      <w:tr>
        <w:trPr/>
        <w:tc>
          <w:tcPr>
            <w:tcW w:w="1610" w:type="dxa"/>
            <w:tcBorders/>
            <w:shd w:fill="CCEEFF" w:val="clear"/>
            <w:vAlign w:val="center"/>
          </w:tcPr>
          <w:p>
            <w:pPr>
              <w:pStyle w:val="TableContents"/>
              <w:bidi w:val="0"/>
              <w:spacing w:before="0" w:after="0"/>
              <w:jc w:val="left"/>
              <w:rPr/>
            </w:pPr>
            <w:r>
              <w:rPr/>
              <w:t>SECTION 8.11.</w:t>
            </w:r>
          </w:p>
        </w:tc>
        <w:tc>
          <w:tcPr>
            <w:tcW w:w="5675" w:type="dxa"/>
            <w:tcBorders/>
            <w:shd w:fill="CCEEFF" w:val="clear"/>
            <w:vAlign w:val="center"/>
          </w:tcPr>
          <w:p>
            <w:pPr>
              <w:pStyle w:val="TableContents"/>
              <w:bidi w:val="0"/>
              <w:spacing w:before="0" w:after="0"/>
              <w:jc w:val="left"/>
              <w:rPr/>
            </w:pPr>
            <w:r>
              <w:rPr/>
              <w:t>Severability</w:t>
            </w:r>
          </w:p>
        </w:tc>
        <w:tc>
          <w:tcPr>
            <w:tcW w:w="275" w:type="dxa"/>
            <w:tcBorders/>
            <w:shd w:fill="CCEEFF" w:val="clear"/>
            <w:vAlign w:val="center"/>
          </w:tcPr>
          <w:p>
            <w:pPr>
              <w:pStyle w:val="TableContents"/>
              <w:bidi w:val="0"/>
              <w:spacing w:before="0" w:after="0"/>
              <w:jc w:val="right"/>
              <w:rPr/>
            </w:pPr>
            <w:r>
              <w:rPr/>
              <w:t>73</w:t>
            </w:r>
          </w:p>
        </w:tc>
      </w:tr>
      <w:tr>
        <w:trPr/>
        <w:tc>
          <w:tcPr>
            <w:tcW w:w="1610" w:type="dxa"/>
            <w:tcBorders/>
            <w:vAlign w:val="center"/>
          </w:tcPr>
          <w:p>
            <w:pPr>
              <w:pStyle w:val="TableContents"/>
              <w:bidi w:val="0"/>
              <w:spacing w:before="0" w:after="0"/>
              <w:jc w:val="left"/>
              <w:rPr/>
            </w:pPr>
            <w:r>
              <w:rPr/>
              <w:t>SECTION 8.12.</w:t>
            </w:r>
          </w:p>
        </w:tc>
        <w:tc>
          <w:tcPr>
            <w:tcW w:w="5675" w:type="dxa"/>
            <w:tcBorders/>
            <w:vAlign w:val="center"/>
          </w:tcPr>
          <w:p>
            <w:pPr>
              <w:pStyle w:val="TableContents"/>
              <w:bidi w:val="0"/>
              <w:spacing w:before="0" w:after="0"/>
              <w:jc w:val="left"/>
              <w:rPr/>
            </w:pPr>
            <w:r>
              <w:rPr/>
              <w:t>Definitions</w:t>
            </w:r>
          </w:p>
        </w:tc>
        <w:tc>
          <w:tcPr>
            <w:tcW w:w="275" w:type="dxa"/>
            <w:tcBorders/>
            <w:vAlign w:val="center"/>
          </w:tcPr>
          <w:p>
            <w:pPr>
              <w:pStyle w:val="TableContents"/>
              <w:bidi w:val="0"/>
              <w:spacing w:before="0" w:after="0"/>
              <w:jc w:val="right"/>
              <w:rPr/>
            </w:pPr>
            <w:r>
              <w:rPr/>
              <w:t>73</w:t>
            </w:r>
          </w:p>
        </w:tc>
      </w:tr>
      <w:tr>
        <w:trPr/>
        <w:tc>
          <w:tcPr>
            <w:tcW w:w="1610" w:type="dxa"/>
            <w:tcBorders/>
            <w:shd w:fill="CCEEFF" w:val="clear"/>
            <w:vAlign w:val="center"/>
          </w:tcPr>
          <w:p>
            <w:pPr>
              <w:pStyle w:val="TableContents"/>
              <w:bidi w:val="0"/>
              <w:spacing w:before="0" w:after="0"/>
              <w:jc w:val="left"/>
              <w:rPr/>
            </w:pPr>
            <w:r>
              <w:rPr/>
              <w:t>SECTION 8.13.</w:t>
            </w:r>
          </w:p>
        </w:tc>
        <w:tc>
          <w:tcPr>
            <w:tcW w:w="5675" w:type="dxa"/>
            <w:tcBorders/>
            <w:shd w:fill="CCEEFF" w:val="clear"/>
            <w:vAlign w:val="center"/>
          </w:tcPr>
          <w:p>
            <w:pPr>
              <w:pStyle w:val="TableContents"/>
              <w:bidi w:val="0"/>
              <w:spacing w:before="0" w:after="0"/>
              <w:jc w:val="left"/>
              <w:rPr/>
            </w:pPr>
            <w:r>
              <w:rPr/>
              <w:t>Fees and Expenses</w:t>
            </w:r>
          </w:p>
        </w:tc>
        <w:tc>
          <w:tcPr>
            <w:tcW w:w="275" w:type="dxa"/>
            <w:tcBorders/>
            <w:shd w:fill="CCEEFF" w:val="clear"/>
            <w:vAlign w:val="center"/>
          </w:tcPr>
          <w:p>
            <w:pPr>
              <w:pStyle w:val="TableContents"/>
              <w:bidi w:val="0"/>
              <w:spacing w:before="0" w:after="0"/>
              <w:jc w:val="right"/>
              <w:rPr/>
            </w:pPr>
            <w:r>
              <w:rPr/>
              <w:t>84</w:t>
            </w:r>
          </w:p>
        </w:tc>
      </w:tr>
      <w:tr>
        <w:trPr/>
        <w:tc>
          <w:tcPr>
            <w:tcW w:w="1610" w:type="dxa"/>
            <w:tcBorders/>
            <w:vAlign w:val="center"/>
          </w:tcPr>
          <w:p>
            <w:pPr>
              <w:pStyle w:val="TableContents"/>
              <w:bidi w:val="0"/>
              <w:spacing w:before="0" w:after="0"/>
              <w:jc w:val="left"/>
              <w:rPr/>
            </w:pPr>
            <w:r>
              <w:rPr/>
              <w:t>SECTION 8.14.</w:t>
            </w:r>
          </w:p>
        </w:tc>
        <w:tc>
          <w:tcPr>
            <w:tcW w:w="5675" w:type="dxa"/>
            <w:tcBorders/>
            <w:vAlign w:val="center"/>
          </w:tcPr>
          <w:p>
            <w:pPr>
              <w:pStyle w:val="TableContents"/>
              <w:bidi w:val="0"/>
              <w:spacing w:before="0" w:after="0"/>
              <w:jc w:val="left"/>
              <w:rPr/>
            </w:pPr>
            <w:r>
              <w:rPr/>
              <w:t>Transfer Taxes</w:t>
            </w:r>
          </w:p>
        </w:tc>
        <w:tc>
          <w:tcPr>
            <w:tcW w:w="275" w:type="dxa"/>
            <w:tcBorders/>
            <w:vAlign w:val="center"/>
          </w:tcPr>
          <w:p>
            <w:pPr>
              <w:pStyle w:val="TableContents"/>
              <w:bidi w:val="0"/>
              <w:spacing w:before="0" w:after="0"/>
              <w:jc w:val="right"/>
              <w:rPr/>
            </w:pPr>
            <w:r>
              <w:rPr/>
              <w:t>84</w:t>
            </w:r>
          </w:p>
        </w:tc>
      </w:tr>
      <w:tr>
        <w:trPr/>
        <w:tc>
          <w:tcPr>
            <w:tcW w:w="1610" w:type="dxa"/>
            <w:tcBorders/>
            <w:shd w:fill="CCEEFF" w:val="clear"/>
            <w:vAlign w:val="center"/>
          </w:tcPr>
          <w:p>
            <w:pPr>
              <w:pStyle w:val="TableContents"/>
              <w:bidi w:val="0"/>
              <w:spacing w:before="0" w:after="0"/>
              <w:jc w:val="left"/>
              <w:rPr/>
            </w:pPr>
            <w:r>
              <w:rPr/>
              <w:t>SECTION 8.15.</w:t>
            </w:r>
          </w:p>
        </w:tc>
        <w:tc>
          <w:tcPr>
            <w:tcW w:w="5675" w:type="dxa"/>
            <w:tcBorders/>
            <w:shd w:fill="CCEEFF" w:val="clear"/>
            <w:vAlign w:val="center"/>
          </w:tcPr>
          <w:p>
            <w:pPr>
              <w:pStyle w:val="TableContents"/>
              <w:bidi w:val="0"/>
              <w:spacing w:before="0" w:after="0"/>
              <w:jc w:val="left"/>
              <w:rPr/>
            </w:pPr>
            <w:r>
              <w:rPr/>
              <w:t>Performance Guaranty</w:t>
            </w:r>
          </w:p>
        </w:tc>
        <w:tc>
          <w:tcPr>
            <w:tcW w:w="275" w:type="dxa"/>
            <w:tcBorders/>
            <w:shd w:fill="CCEEFF" w:val="clear"/>
            <w:vAlign w:val="center"/>
          </w:tcPr>
          <w:p>
            <w:pPr>
              <w:pStyle w:val="TableContents"/>
              <w:bidi w:val="0"/>
              <w:spacing w:before="0" w:after="0"/>
              <w:jc w:val="right"/>
              <w:rPr/>
            </w:pPr>
            <w:r>
              <w:rPr/>
              <w:t>84</w:t>
            </w:r>
          </w:p>
        </w:tc>
      </w:tr>
      <w:tr>
        <w:trPr/>
        <w:tc>
          <w:tcPr>
            <w:tcW w:w="1610" w:type="dxa"/>
            <w:tcBorders/>
            <w:vAlign w:val="center"/>
          </w:tcPr>
          <w:p>
            <w:pPr>
              <w:pStyle w:val="TableContents"/>
              <w:bidi w:val="0"/>
              <w:spacing w:before="0" w:after="0"/>
              <w:jc w:val="left"/>
              <w:rPr/>
            </w:pPr>
            <w:r>
              <w:rPr/>
              <w:t>SECTION 8.16.</w:t>
            </w:r>
          </w:p>
        </w:tc>
        <w:tc>
          <w:tcPr>
            <w:tcW w:w="5675" w:type="dxa"/>
            <w:tcBorders/>
            <w:vAlign w:val="center"/>
          </w:tcPr>
          <w:p>
            <w:pPr>
              <w:pStyle w:val="TableContents"/>
              <w:bidi w:val="0"/>
              <w:spacing w:before="0" w:after="0"/>
              <w:jc w:val="left"/>
              <w:rPr/>
            </w:pPr>
            <w:r>
              <w:rPr/>
              <w:t>Interpretation</w:t>
            </w:r>
          </w:p>
        </w:tc>
        <w:tc>
          <w:tcPr>
            <w:tcW w:w="275" w:type="dxa"/>
            <w:tcBorders/>
            <w:vAlign w:val="center"/>
          </w:tcPr>
          <w:p>
            <w:pPr>
              <w:pStyle w:val="TableContents"/>
              <w:bidi w:val="0"/>
              <w:spacing w:before="0" w:after="0"/>
              <w:jc w:val="right"/>
              <w:rPr/>
            </w:pPr>
            <w:r>
              <w:rPr/>
              <w:t>84</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EXHIBITS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Exhibit A          Form of Certificate of Incorporation of the Surviving Corporation</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iii</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This AGREEMENT AND PLAN OF MERGER, dated as of March 9, 2026 (this “</w:t>
      </w:r>
      <w:r>
        <w:rPr>
          <w:rFonts w:ascii="Times New Roman" w:hAnsi="Times New Roman"/>
          <w:color w:val="000000"/>
          <w:sz w:val="20"/>
          <w:u w:val="single"/>
        </w:rPr>
        <w:t>Agreement</w:t>
      </w:r>
      <w:r>
        <w:rPr>
          <w:rFonts w:ascii="Times New Roman" w:hAnsi="Times New Roman"/>
          <w:color w:val="000000"/>
          <w:sz w:val="20"/>
        </w:rPr>
        <w:t>”), is by and among Universal Health Services, Inc., a Delaware corporation (“</w:t>
      </w:r>
      <w:r>
        <w:rPr>
          <w:rFonts w:ascii="Times New Roman" w:hAnsi="Times New Roman"/>
          <w:color w:val="000000"/>
          <w:sz w:val="20"/>
          <w:u w:val="single"/>
        </w:rPr>
        <w:t>Parent</w:t>
      </w:r>
      <w:r>
        <w:rPr>
          <w:rFonts w:ascii="Times New Roman" w:hAnsi="Times New Roman"/>
          <w:color w:val="000000"/>
          <w:sz w:val="20"/>
        </w:rPr>
        <w:t>”), UHS Merger Subsidiary, Inc., a Delaware corporation and an indirect wholly owned Subsidiary of Parent (“</w:t>
      </w:r>
      <w:r>
        <w:rPr>
          <w:rFonts w:ascii="Times New Roman" w:hAnsi="Times New Roman"/>
          <w:color w:val="000000"/>
          <w:sz w:val="20"/>
          <w:u w:val="single"/>
        </w:rPr>
        <w:t>Merger Sub</w:t>
      </w:r>
      <w:r>
        <w:rPr>
          <w:rFonts w:ascii="Times New Roman" w:hAnsi="Times New Roman"/>
          <w:color w:val="000000"/>
          <w:sz w:val="20"/>
        </w:rPr>
        <w:t>”), and Talkspace, Inc., a Delaware corporation (the “</w:t>
      </w:r>
      <w:r>
        <w:rPr>
          <w:rFonts w:ascii="Times New Roman" w:hAnsi="Times New Roman"/>
          <w:color w:val="000000"/>
          <w:sz w:val="20"/>
          <w:u w:val="single"/>
        </w:rPr>
        <w:t>Company</w:t>
      </w:r>
      <w:r>
        <w:rPr>
          <w:rFonts w:ascii="Times New Roman" w:hAnsi="Times New Roman"/>
          <w:color w:val="000000"/>
          <w:sz w:val="20"/>
        </w:rPr>
        <w:t xml:space="preserve">”).  Certain capitalized terms used in this Agreement are defined in </w:t>
      </w:r>
      <w:r>
        <w:rPr>
          <w:rFonts w:ascii="Times New Roman" w:hAnsi="Times New Roman"/>
          <w:color w:val="000000"/>
          <w:sz w:val="20"/>
          <w:u w:val="single"/>
        </w:rPr>
        <w:t>Section 8.12</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WHEREAS, the parties intend that, upon the terms and subject to the conditions set forth in this Agreement and in accordance with the Delaware General Corporation Law (the “</w:t>
      </w:r>
      <w:r>
        <w:rPr>
          <w:rFonts w:ascii="Times New Roman" w:hAnsi="Times New Roman"/>
          <w:color w:val="000000"/>
          <w:sz w:val="20"/>
          <w:u w:val="single"/>
        </w:rPr>
        <w:t>DGCL</w:t>
      </w:r>
      <w:r>
        <w:rPr>
          <w:rFonts w:ascii="Times New Roman" w:hAnsi="Times New Roman"/>
          <w:color w:val="000000"/>
          <w:sz w:val="20"/>
        </w:rPr>
        <w:t>”), Merger Sub will be merged with and into the Company (the “</w:t>
      </w:r>
      <w:r>
        <w:rPr>
          <w:rFonts w:ascii="Times New Roman" w:hAnsi="Times New Roman"/>
          <w:color w:val="000000"/>
          <w:sz w:val="20"/>
          <w:u w:val="single"/>
        </w:rPr>
        <w:t>Merger</w:t>
      </w:r>
      <w:r>
        <w:rPr>
          <w:rFonts w:ascii="Times New Roman" w:hAnsi="Times New Roman"/>
          <w:color w:val="000000"/>
          <w:sz w:val="20"/>
        </w:rPr>
        <w:t>”), with the Company surviving the Merger as an indirect wholly owned Subsidiary of Parent, and pursuant to the Merger each share of the common stock, par value $0.0001 per share, of the Company (“</w:t>
      </w:r>
      <w:r>
        <w:rPr>
          <w:rFonts w:ascii="Times New Roman" w:hAnsi="Times New Roman"/>
          <w:color w:val="000000"/>
          <w:sz w:val="20"/>
          <w:u w:val="single"/>
        </w:rPr>
        <w:t>Company Common Stock</w:t>
      </w:r>
      <w:r>
        <w:rPr>
          <w:rFonts w:ascii="Times New Roman" w:hAnsi="Times New Roman"/>
          <w:color w:val="000000"/>
          <w:sz w:val="20"/>
        </w:rPr>
        <w:t xml:space="preserve">”) (other than (i) shares of Company Common Stock canceled pursuant to </w:t>
      </w:r>
      <w:r>
        <w:rPr>
          <w:rFonts w:ascii="Times New Roman" w:hAnsi="Times New Roman"/>
          <w:color w:val="000000"/>
          <w:sz w:val="20"/>
          <w:u w:val="single"/>
        </w:rPr>
        <w:t>Section 2.01(b)</w:t>
      </w:r>
      <w:r>
        <w:rPr>
          <w:rFonts w:ascii="Times New Roman" w:hAnsi="Times New Roman"/>
          <w:color w:val="000000"/>
          <w:sz w:val="20"/>
        </w:rPr>
        <w:t xml:space="preserve"> and (ii) Appraisal Shares, which shall be treated in accordance with </w:t>
      </w:r>
      <w:r>
        <w:rPr>
          <w:rFonts w:ascii="Times New Roman" w:hAnsi="Times New Roman"/>
          <w:color w:val="000000"/>
          <w:sz w:val="20"/>
          <w:u w:val="single"/>
        </w:rPr>
        <w:t>Section 2.08</w:t>
      </w:r>
      <w:r>
        <w:rPr>
          <w:rFonts w:ascii="Times New Roman" w:hAnsi="Times New Roman"/>
          <w:color w:val="000000"/>
          <w:sz w:val="20"/>
        </w:rPr>
        <w:t>), will be converted into the right to receive the Merger Consideration;</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WHEREAS, the Board of Directors of the Company, at a meeting duly called and held, has unanimously (i) determined that it is advisable and fair to, and in the best interests of, the Company and the stockholders of the Company, and declared it advisable, that the Company enter into this Agreement and consummate the transactions contemplated hereby, (ii) adopted resolutions approving and declaring the advisability of this Agreement and the consummation of the transactions contemplated hereby, including the Merger, (iii) adopted resolutions recommending that the stockholders of the Company entitled to vote adopt this Agreement (this </w:t>
      </w:r>
      <w:r>
        <w:rPr>
          <w:rFonts w:ascii="Times New Roman" w:hAnsi="Times New Roman"/>
          <w:color w:val="000000"/>
          <w:sz w:val="20"/>
          <w:u w:val="single"/>
        </w:rPr>
        <w:t>clause (iii)</w:t>
      </w:r>
      <w:r>
        <w:rPr>
          <w:rFonts w:ascii="Times New Roman" w:hAnsi="Times New Roman"/>
          <w:color w:val="000000"/>
          <w:sz w:val="20"/>
        </w:rPr>
        <w:t>, the “</w:t>
      </w:r>
      <w:r>
        <w:rPr>
          <w:rFonts w:ascii="Times New Roman" w:hAnsi="Times New Roman"/>
          <w:color w:val="000000"/>
          <w:sz w:val="20"/>
          <w:u w:val="single"/>
        </w:rPr>
        <w:t>Company Board Recommendation</w:t>
      </w:r>
      <w:r>
        <w:rPr>
          <w:rFonts w:ascii="Times New Roman" w:hAnsi="Times New Roman"/>
          <w:color w:val="000000"/>
          <w:sz w:val="20"/>
        </w:rPr>
        <w:t>”) and (iv) directed that this Agreement and the transactions contemplated hereby be submitted to the stockholders of the Company entitled to vote for adoption and approval;</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WHEREAS, the Board of Directors of Parent has unanimously duly authorized and approved the execution, delivery and performance by Parent of this Agreement and the consummation by Parent of the Transactions;</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WHEREAS, the Board of Directors of Merger Sub has unanimously (i) determined that it is advisable and fair to, and in the best interests of, Merger Sub and the stockholders of Merger Sub, and declared it advisable, that Merger Sub enter into this Agreement and consummate the Transactions, (ii) adopted resolutions approving and declaring the advisability of this Agreement and the consummation of the Transactions, including the Merger, (iii) adopted resolutions recommending that the stockholders of Merger Sub entitled to vote adopt this Agreement and (iv) directed that this Agreement and the Transactions be submitted to the stockholders of Merger Sub entitled to vote for adoption;</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WHEREAS, Parent, in its capacity as sole stockholder of Merger Sub, will approve and adopt this Agreement and the consummation by Merger Sub of the Transactions by written consent immediately following the execution of this Agreement;</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WHEREAS, the Company, Parent and Merger Sub desire to make certain representations, warranties, covenants and agreements in connection with this Agreement; and</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WHEREAS, concurrently with the execution and delivery of this Agreement, and as a condition and inducement to Parent’s and Merger Sub’s willingness to enter into this Agreement, certain stockholders of the Company are entering into voting agreements with Parent (the “</w:t>
      </w:r>
      <w:r>
        <w:rPr>
          <w:rFonts w:ascii="Times New Roman" w:hAnsi="Times New Roman"/>
          <w:color w:val="000000"/>
          <w:sz w:val="20"/>
          <w:u w:val="single"/>
        </w:rPr>
        <w:t>Voting Agreements</w:t>
      </w:r>
      <w:r>
        <w:rPr>
          <w:rFonts w:ascii="Times New Roman" w:hAnsi="Times New Roman"/>
          <w:color w:val="000000"/>
          <w:sz w:val="20"/>
        </w:rPr>
        <w:t>”) pursuant to which each such stockholder has agreed, among other things, to vote or cause to be voted the shares of Company Common Stock held by such stockholder or any of such stockholder’s Affiliates in favor of adoption of this Agreement and approval of the Merger and any other actions contemplated by this Agreement in respect of which approval of the stockholders of the Company is sought.</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NOW, THEREFORE, in consideration of the foregoing and the representations, warranties, covenants and agreements contained in this Agreement, and intending to be legally bound hereby, the Company, Parent and Merger Sub hereby agree as follows: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ARTICLE I</w:t>
        <w:br/>
        <w:br/>
      </w:r>
      <w:r>
        <w:rPr>
          <w:rFonts w:ascii="Times New Roman" w:hAnsi="Times New Roman"/>
          <w:color w:val="000000"/>
          <w:sz w:val="20"/>
          <w:u w:val="single"/>
        </w:rPr>
        <w:t>The Merger</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1.01.  </w:t>
      </w:r>
      <w:r>
        <w:rPr>
          <w:rFonts w:ascii="Times New Roman" w:hAnsi="Times New Roman"/>
          <w:color w:val="000000"/>
          <w:sz w:val="20"/>
          <w:u w:val="single"/>
        </w:rPr>
        <w:t>The Merger</w:t>
      </w:r>
      <w:r>
        <w:rPr>
          <w:rFonts w:ascii="Times New Roman" w:hAnsi="Times New Roman"/>
          <w:color w:val="000000"/>
          <w:sz w:val="20"/>
        </w:rPr>
        <w:t>.  Upon the terms and subject to the conditions set forth in this Agreement, and in accordance with the provisions of the DGCL, at the Effective Time, Merger Sub shall be merged with and into the Company, the separate corporate existence of Merger Sub shall thereupon cease, and the Company shall be the surviving corporation in the Merger.  The Company, as the surviving corporation after the Merger, is hereinafter referred to as the “</w:t>
      </w:r>
      <w:r>
        <w:rPr>
          <w:rFonts w:ascii="Times New Roman" w:hAnsi="Times New Roman"/>
          <w:color w:val="000000"/>
          <w:sz w:val="20"/>
          <w:u w:val="single"/>
        </w:rPr>
        <w:t>Surviving Corporation</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1.02.  </w:t>
      </w:r>
      <w:r>
        <w:rPr>
          <w:rFonts w:ascii="Times New Roman" w:hAnsi="Times New Roman"/>
          <w:color w:val="000000"/>
          <w:sz w:val="20"/>
          <w:u w:val="single"/>
        </w:rPr>
        <w:t>Closing</w:t>
      </w:r>
      <w:r>
        <w:rPr>
          <w:rFonts w:ascii="Times New Roman" w:hAnsi="Times New Roman"/>
          <w:color w:val="000000"/>
          <w:sz w:val="20"/>
        </w:rPr>
        <w:t>.  The closing of the Merger (the “</w:t>
      </w:r>
      <w:r>
        <w:rPr>
          <w:rFonts w:ascii="Times New Roman" w:hAnsi="Times New Roman"/>
          <w:color w:val="000000"/>
          <w:sz w:val="20"/>
          <w:u w:val="single"/>
        </w:rPr>
        <w:t>Closing</w:t>
      </w:r>
      <w:r>
        <w:rPr>
          <w:rFonts w:ascii="Times New Roman" w:hAnsi="Times New Roman"/>
          <w:color w:val="000000"/>
          <w:sz w:val="20"/>
        </w:rPr>
        <w:t xml:space="preserve">”) shall take place at 10:00 a.m. (New York City time) on the second Business Day following the satisfaction or waiver (to the extent such waiver is permitted by applicable Law) of the conditions set forth in </w:t>
      </w:r>
      <w:r>
        <w:rPr>
          <w:rFonts w:ascii="Times New Roman" w:hAnsi="Times New Roman"/>
          <w:color w:val="000000"/>
          <w:sz w:val="20"/>
          <w:u w:val="single"/>
        </w:rPr>
        <w:t>Article VI</w:t>
      </w:r>
      <w:r>
        <w:rPr>
          <w:rFonts w:ascii="Times New Roman" w:hAnsi="Times New Roman"/>
          <w:color w:val="000000"/>
          <w:sz w:val="20"/>
        </w:rPr>
        <w:t xml:space="preserve"> (other than those conditions that by their nature are to be satisfied at the Closing, but subject to the satisfaction or waiver of those conditions at the Closing), at the offices of Cravath, Swaine &amp; Moore LLP, Two Manhattan West, 375 Ninth Avenue, New York, New York 10001 or remotely by exchange of documents and signatures (or their electronic counterparts)</w:t>
      </w:r>
      <w:r>
        <w:rPr>
          <w:rFonts w:ascii="Times New Roman" w:hAnsi="Times New Roman"/>
          <w:color w:val="000000"/>
          <w:sz w:val="16"/>
        </w:rPr>
        <w:t>,</w:t>
      </w:r>
      <w:r>
        <w:rPr>
          <w:rFonts w:ascii="Times New Roman" w:hAnsi="Times New Roman"/>
          <w:color w:val="000000"/>
          <w:sz w:val="20"/>
        </w:rPr>
        <w:t xml:space="preserve"> unless another date, time or place is agreed to in writing by Parent and the Company.  The date on which the Closing occurs is herein referred to as the “</w:t>
      </w:r>
      <w:r>
        <w:rPr>
          <w:rFonts w:ascii="Times New Roman" w:hAnsi="Times New Roman"/>
          <w:color w:val="000000"/>
          <w:sz w:val="20"/>
          <w:u w:val="single"/>
        </w:rPr>
        <w:t>Closing Date</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1.03.  </w:t>
      </w:r>
      <w:r>
        <w:rPr>
          <w:rFonts w:ascii="Times New Roman" w:hAnsi="Times New Roman"/>
          <w:color w:val="000000"/>
          <w:sz w:val="20"/>
          <w:u w:val="single"/>
        </w:rPr>
        <w:t>Effective Time</w:t>
      </w:r>
      <w:r>
        <w:rPr>
          <w:rFonts w:ascii="Times New Roman" w:hAnsi="Times New Roman"/>
          <w:color w:val="000000"/>
          <w:sz w:val="20"/>
        </w:rPr>
        <w:t>.  Subject to the provisions of this Agreement, as soon as practicable on the Closing Date, the parties hereto shall cause the Merger to be consummated by filing a certificate of merger executed in accordance with, and in such form as is reasonably acceptable to Parent and required by, the relevant provisions of the DGCL (the “</w:t>
      </w:r>
      <w:r>
        <w:rPr>
          <w:rFonts w:ascii="Times New Roman" w:hAnsi="Times New Roman"/>
          <w:color w:val="000000"/>
          <w:sz w:val="20"/>
          <w:u w:val="single"/>
        </w:rPr>
        <w:t>Certificate of Merger</w:t>
      </w:r>
      <w:r>
        <w:rPr>
          <w:rFonts w:ascii="Times New Roman" w:hAnsi="Times New Roman"/>
          <w:color w:val="000000"/>
          <w:sz w:val="20"/>
        </w:rPr>
        <w:t>”), and shall make all other filings, recordings or publications required under the DGCL in connection with the Merger.  The Merger shall become effective at the time that the Certificate of Merger is filed with the Secretary of State of the State of Delaware (the “</w:t>
      </w:r>
      <w:r>
        <w:rPr>
          <w:rFonts w:ascii="Times New Roman" w:hAnsi="Times New Roman"/>
          <w:color w:val="000000"/>
          <w:sz w:val="20"/>
          <w:u w:val="single"/>
        </w:rPr>
        <w:t>Secretary of State of Delaware</w:t>
      </w:r>
      <w:r>
        <w:rPr>
          <w:rFonts w:ascii="Times New Roman" w:hAnsi="Times New Roman"/>
          <w:color w:val="000000"/>
          <w:sz w:val="20"/>
        </w:rPr>
        <w:t>”) or, to the extent permitted by applicable Law, at such later time as is agreed to by the parties hereto in writing prior to the filing of such Certificate of Merger and specified in the Certificate of Merger (the time at which the Merger becomes effective is herein referred to as the “</w:t>
      </w:r>
      <w:r>
        <w:rPr>
          <w:rFonts w:ascii="Times New Roman" w:hAnsi="Times New Roman"/>
          <w:color w:val="000000"/>
          <w:sz w:val="20"/>
          <w:u w:val="single"/>
        </w:rPr>
        <w:t>Effective Time</w:t>
      </w:r>
      <w:r>
        <w:rPr>
          <w:rFonts w:ascii="Times New Roman" w:hAnsi="Times New Roman"/>
          <w:color w:val="000000"/>
          <w:sz w:val="20"/>
        </w:rPr>
        <w: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1.04.  </w:t>
      </w:r>
      <w:r>
        <w:rPr>
          <w:rFonts w:ascii="Times New Roman" w:hAnsi="Times New Roman"/>
          <w:color w:val="000000"/>
          <w:sz w:val="20"/>
          <w:u w:val="single"/>
        </w:rPr>
        <w:t>Effects of the Merger</w:t>
      </w:r>
      <w:r>
        <w:rPr>
          <w:rFonts w:ascii="Times New Roman" w:hAnsi="Times New Roman"/>
          <w:color w:val="000000"/>
          <w:sz w:val="20"/>
        </w:rPr>
        <w:t>.  The Merger shall have the effects provided in this Agreement and as set forth in the applicable provisions, including Section 259, of the DGCL.</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1.05.  </w:t>
      </w:r>
      <w:r>
        <w:rPr>
          <w:rFonts w:ascii="Times New Roman" w:hAnsi="Times New Roman"/>
          <w:color w:val="000000"/>
          <w:sz w:val="20"/>
          <w:u w:val="single"/>
        </w:rPr>
        <w:t>Certificate of Incorporation and Bylaws of the Surviving Corporation</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(a)  At the Effective Time, by virtue of the Merger and without any action on the part of Parent, Merger Sub, the Company or any holder of any securities of Company, Parent or Merger Sub, the certificate of incorporation of the Company as in effect immediately prior to the Effective Time shall be amended and restated to read in its entirety as set forth on </w:t>
      </w:r>
      <w:r>
        <w:rPr>
          <w:rFonts w:ascii="Times New Roman" w:hAnsi="Times New Roman"/>
          <w:color w:val="000000"/>
          <w:sz w:val="20"/>
          <w:u w:val="single"/>
        </w:rPr>
        <w:t>Exhibit A</w:t>
      </w:r>
      <w:r>
        <w:rPr>
          <w:rFonts w:ascii="Times New Roman" w:hAnsi="Times New Roman"/>
          <w:color w:val="000000"/>
          <w:sz w:val="20"/>
        </w:rPr>
        <w:t xml:space="preserve"> hereto, and as so amended and restated shall be the certificate of incorporation of the Surviving Corporation, until thereafter amended in accordance with applicable Law and the certificate of incorporation and bylaws of the Surviving Corporation (and subject to </w:t>
      </w:r>
      <w:r>
        <w:rPr>
          <w:rFonts w:ascii="Times New Roman" w:hAnsi="Times New Roman"/>
          <w:color w:val="000000"/>
          <w:sz w:val="20"/>
          <w:u w:val="single"/>
        </w:rPr>
        <w:t>Section 5.06</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(b)  At the Effective Time, by virtue of the Merger and without any action on the part of Parent, Merger Sub, the Company or any other Person, the bylaws of Merger Sub as in effect immediately prior to the Effective Time shall be the bylaws of the Surviving Corporation, except that references to Merger Sub’s name shall be replaced with references to the Surviving Corporation’s name, until thereafter amended in accordance with applicable Law and the certificate of incorporation and bylaws of the Surviving Corporation (and subject to </w:t>
      </w:r>
      <w:r>
        <w:rPr>
          <w:rFonts w:ascii="Times New Roman" w:hAnsi="Times New Roman"/>
          <w:color w:val="000000"/>
          <w:sz w:val="20"/>
          <w:u w:val="single"/>
        </w:rPr>
        <w:t>Section 5.06</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1.06.  </w:t>
      </w:r>
      <w:r>
        <w:rPr>
          <w:rFonts w:ascii="Times New Roman" w:hAnsi="Times New Roman"/>
          <w:color w:val="000000"/>
          <w:sz w:val="20"/>
          <w:u w:val="single"/>
        </w:rPr>
        <w:t>Directors and Officers of the Surviving Corporation</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(a)  By virtue of the Merger and without any action on the part of Parent, Merger Sub, the Company or any other Person, the directors of Merger Sub immediately prior to the Effective Time shall be the directors of the Surviving Corporation immediately following the Effective Time, until their respective successors are duly elected or appointed and qualified or their earlier death, resignation or removal in accordance with the certificate of incorporation and bylaws of the Surviving Corporation.</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(b)  By virtue of the Merger and without any action on the part of Parent, Merger Sub, the Company or any other Person, the officers of Merger Sub immediately prior to the Effective Time shall be the officers of the Surviving Corporation until their respective successors are duly appointed and qualified or their earlier death, resignation or removal in accordance with the certificate of incorporation and bylaws of the Surviving Corporation.</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ARTICLE II</w:t>
        <w:br/>
        <w:br/>
      </w:r>
      <w:r>
        <w:rPr>
          <w:rFonts w:ascii="Times New Roman" w:hAnsi="Times New Roman"/>
          <w:color w:val="000000"/>
          <w:sz w:val="20"/>
          <w:u w:val="single"/>
        </w:rPr>
        <w:t>Effect of the Merger on Capital Stock; Exchange of Certificates;</w:t>
      </w:r>
      <w:r>
        <w:rPr>
          <w:rFonts w:ascii="Times New Roman" w:hAnsi="Times New Roman"/>
          <w:color w:val="000000"/>
          <w:sz w:val="20"/>
        </w:rPr>
        <w:br/>
      </w:r>
      <w:r>
        <w:rPr>
          <w:rFonts w:ascii="Times New Roman" w:hAnsi="Times New Roman"/>
          <w:color w:val="000000"/>
          <w:sz w:val="20"/>
          <w:u w:val="single"/>
        </w:rPr>
        <w:t>Equity-Based Incentive Awards; Company Warrants</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2.01.  </w:t>
      </w:r>
      <w:r>
        <w:rPr>
          <w:rFonts w:ascii="Times New Roman" w:hAnsi="Times New Roman"/>
          <w:color w:val="000000"/>
          <w:sz w:val="20"/>
          <w:u w:val="single"/>
        </w:rPr>
        <w:t>Effect on Capital Stock</w:t>
      </w:r>
      <w:r>
        <w:rPr>
          <w:rFonts w:ascii="Times New Roman" w:hAnsi="Times New Roman"/>
          <w:color w:val="000000"/>
          <w:sz w:val="20"/>
        </w:rPr>
        <w:t>.  At the Effective Time, by virtue of the Merger and without any action on the part of the Company, Parent, Merger Sub or any holder of any securities of Company, Parent or Merger Sub:</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(a)  </w:t>
      </w:r>
      <w:r>
        <w:rPr>
          <w:rFonts w:ascii="Times New Roman" w:hAnsi="Times New Roman"/>
          <w:color w:val="000000"/>
          <w:sz w:val="20"/>
          <w:u w:val="single"/>
        </w:rPr>
        <w:t>Capital Shares of Merger Sub</w:t>
      </w:r>
      <w:r>
        <w:rPr>
          <w:rFonts w:ascii="Times New Roman" w:hAnsi="Times New Roman"/>
          <w:color w:val="000000"/>
          <w:sz w:val="20"/>
        </w:rPr>
        <w:t>.  Each issued and outstanding share of capital stock of Merger Sub as of immediately prior to the Effective Time shall be converted into and become one validly issued, fully paid and nonassessable share of common stock, no par value, of the Surviving Corporation.</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(b)  </w:t>
      </w:r>
      <w:r>
        <w:rPr>
          <w:rFonts w:ascii="Times New Roman" w:hAnsi="Times New Roman"/>
          <w:color w:val="000000"/>
          <w:sz w:val="20"/>
          <w:u w:val="single"/>
        </w:rPr>
        <w:t>Cancelation of Certain Shares</w:t>
      </w:r>
      <w:r>
        <w:rPr>
          <w:rFonts w:ascii="Times New Roman" w:hAnsi="Times New Roman"/>
          <w:color w:val="000000"/>
          <w:sz w:val="20"/>
        </w:rPr>
        <w:t>.  All shares of Company Common Stock that are owned by the Company immediately prior to the Effective Time shall be canceled and shall cease to exist and no consideration shall be delivered in exchange therefor.  All shares of Company Common Stock then held by Parent or Merger Sub shall be canceled and shall cease to exist and no consideration shall be delivered in exchange therefor.  Each share of Company Common Stock bearing a legend that such share is subject to forfeiture that is, or has been, forfeited pursuant to Section 1.9(c) of the Sponsor Support Agreement shall automatically be cancelled and shall cease to exist and no consideration shall be delivered in exchange therefor.</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(c)  </w:t>
      </w:r>
      <w:r>
        <w:rPr>
          <w:rFonts w:ascii="Times New Roman" w:hAnsi="Times New Roman"/>
          <w:color w:val="000000"/>
          <w:sz w:val="20"/>
          <w:u w:val="single"/>
        </w:rPr>
        <w:t>Conversion of Company Common Stock</w:t>
      </w:r>
      <w:r>
        <w:rPr>
          <w:rFonts w:ascii="Times New Roman" w:hAnsi="Times New Roman"/>
          <w:color w:val="000000"/>
          <w:sz w:val="20"/>
        </w:rPr>
        <w:t xml:space="preserve">.  Each issued and outstanding share of Company Common Stock as of immediately prior to the Effective Time (other than (i) shares of Company Common Stock to be canceled in accordance with </w:t>
      </w:r>
      <w:r>
        <w:rPr>
          <w:rFonts w:ascii="Times New Roman" w:hAnsi="Times New Roman"/>
          <w:color w:val="000000"/>
          <w:sz w:val="20"/>
          <w:u w:val="single"/>
        </w:rPr>
        <w:t>Section 2.01(b)</w:t>
      </w:r>
      <w:r>
        <w:rPr>
          <w:rFonts w:ascii="Times New Roman" w:hAnsi="Times New Roman"/>
          <w:color w:val="000000"/>
          <w:sz w:val="20"/>
        </w:rPr>
        <w:t xml:space="preserve"> and (ii) Appraisal Shares, which shall be treated in accordance with </w:t>
      </w:r>
      <w:r>
        <w:rPr>
          <w:rFonts w:ascii="Times New Roman" w:hAnsi="Times New Roman"/>
          <w:color w:val="000000"/>
          <w:sz w:val="20"/>
          <w:u w:val="single"/>
        </w:rPr>
        <w:t>Section 2.08</w:t>
      </w:r>
      <w:r>
        <w:rPr>
          <w:rFonts w:ascii="Times New Roman" w:hAnsi="Times New Roman"/>
          <w:color w:val="000000"/>
          <w:sz w:val="20"/>
        </w:rPr>
        <w:t>) shall be converted automatically into and shall thereafter represent only the right to receive an amount in cash equal to $5.25 per share, without interest (the “</w:t>
      </w:r>
      <w:r>
        <w:rPr>
          <w:rFonts w:ascii="Times New Roman" w:hAnsi="Times New Roman"/>
          <w:color w:val="000000"/>
          <w:sz w:val="20"/>
          <w:u w:val="single"/>
        </w:rPr>
        <w:t>Merger Consideration</w:t>
      </w:r>
      <w:r>
        <w:rPr>
          <w:rFonts w:ascii="Times New Roman" w:hAnsi="Times New Roman"/>
          <w:color w:val="000000"/>
          <w:sz w:val="20"/>
        </w:rPr>
        <w:t>”).  As of the Effective Time, all such shares of Company Common Stock shall no longer be outstanding and shall automatically be canceled and shall cease to exist, and each holder of a certificate which immediately prior to the Effective Time represented any such shares of Company Common Stock (each, a “</w:t>
      </w:r>
      <w:r>
        <w:rPr>
          <w:rFonts w:ascii="Times New Roman" w:hAnsi="Times New Roman"/>
          <w:color w:val="000000"/>
          <w:sz w:val="20"/>
          <w:u w:val="single"/>
        </w:rPr>
        <w:t>Share Certificate</w:t>
      </w:r>
      <w:r>
        <w:rPr>
          <w:rFonts w:ascii="Times New Roman" w:hAnsi="Times New Roman"/>
          <w:color w:val="000000"/>
          <w:sz w:val="20"/>
        </w:rPr>
        <w:t>”) or non-certificated shares of Company Common Stock held in book-entry form (each, a “</w:t>
      </w:r>
      <w:r>
        <w:rPr>
          <w:rFonts w:ascii="Times New Roman" w:hAnsi="Times New Roman"/>
          <w:color w:val="000000"/>
          <w:sz w:val="20"/>
          <w:u w:val="single"/>
        </w:rPr>
        <w:t>Book-Entry Share</w:t>
      </w:r>
      <w:r>
        <w:rPr>
          <w:rFonts w:ascii="Times New Roman" w:hAnsi="Times New Roman"/>
          <w:color w:val="000000"/>
          <w:sz w:val="20"/>
        </w:rPr>
        <w:t>”) shall cease to have any rights with respect thereto, except the right to receive the Merger Consideration to be paid in consideration therefor and in accordance herewith.</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2.02.  </w:t>
      </w:r>
      <w:r>
        <w:rPr>
          <w:rFonts w:ascii="Times New Roman" w:hAnsi="Times New Roman"/>
          <w:color w:val="000000"/>
          <w:sz w:val="20"/>
          <w:u w:val="single"/>
        </w:rPr>
        <w:t>Exchange Matters</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(a)  </w:t>
      </w:r>
      <w:r>
        <w:rPr>
          <w:rFonts w:ascii="Times New Roman" w:hAnsi="Times New Roman"/>
          <w:color w:val="000000"/>
          <w:sz w:val="20"/>
          <w:u w:val="single"/>
        </w:rPr>
        <w:t>Paying Agent</w:t>
      </w:r>
      <w:r>
        <w:rPr>
          <w:rFonts w:ascii="Times New Roman" w:hAnsi="Times New Roman"/>
          <w:color w:val="000000"/>
          <w:sz w:val="20"/>
        </w:rPr>
        <w:t>.  Prior to the Closing Date, Parent shall designate a bank or trust company reasonably acceptable to the Company to act as agent (the “</w:t>
      </w:r>
      <w:r>
        <w:rPr>
          <w:rFonts w:ascii="Times New Roman" w:hAnsi="Times New Roman"/>
          <w:color w:val="000000"/>
          <w:sz w:val="20"/>
          <w:u w:val="single"/>
        </w:rPr>
        <w:t>Paying Agent</w:t>
      </w:r>
      <w:r>
        <w:rPr>
          <w:rFonts w:ascii="Times New Roman" w:hAnsi="Times New Roman"/>
          <w:color w:val="000000"/>
          <w:sz w:val="20"/>
        </w:rPr>
        <w:t xml:space="preserve">”) for the payment of the Merger Consideration in accordance with this </w:t>
      </w:r>
      <w:r>
        <w:rPr>
          <w:rFonts w:ascii="Times New Roman" w:hAnsi="Times New Roman"/>
          <w:color w:val="000000"/>
          <w:sz w:val="20"/>
          <w:u w:val="single"/>
        </w:rPr>
        <w:t>Article II</w:t>
      </w:r>
      <w:r>
        <w:rPr>
          <w:rFonts w:ascii="Times New Roman" w:hAnsi="Times New Roman"/>
          <w:color w:val="000000"/>
          <w:sz w:val="20"/>
        </w:rPr>
        <w:t xml:space="preserve"> and, in connection therewith, prior to the Closing Date shall enter into an agreement with the Paying Agent in a form reasonably acceptable to Parent and the Company.  At or prior to the Effective Time, Parent shall deposit or cause to be deposited with the Paying Agent an amount in cash sufficient to pay the aggregate Merger Consideration (other than any amounts payable in respect of each Equity-Based Award in accordance with </w:t>
      </w:r>
      <w:r>
        <w:rPr>
          <w:rFonts w:ascii="Times New Roman" w:hAnsi="Times New Roman"/>
          <w:color w:val="000000"/>
          <w:sz w:val="20"/>
          <w:u w:val="single"/>
        </w:rPr>
        <w:t>Section 2.04</w:t>
      </w:r>
      <w:r>
        <w:rPr>
          <w:rFonts w:ascii="Times New Roman" w:hAnsi="Times New Roman"/>
          <w:color w:val="000000"/>
          <w:sz w:val="20"/>
        </w:rPr>
        <w:t>) (such cash being hereinafter referred to as the “</w:t>
      </w:r>
      <w:r>
        <w:rPr>
          <w:rFonts w:ascii="Times New Roman" w:hAnsi="Times New Roman"/>
          <w:color w:val="000000"/>
          <w:sz w:val="20"/>
          <w:u w:val="single"/>
        </w:rPr>
        <w:t>Exchange Fund</w:t>
      </w:r>
      <w:r>
        <w:rPr>
          <w:rFonts w:ascii="Times New Roman" w:hAnsi="Times New Roman"/>
          <w:color w:val="000000"/>
          <w:sz w:val="20"/>
        </w:rPr>
        <w:t xml:space="preserve">”).  Pending its disbursement in accordance with this </w:t>
      </w:r>
      <w:r>
        <w:rPr>
          <w:rFonts w:ascii="Times New Roman" w:hAnsi="Times New Roman"/>
          <w:color w:val="000000"/>
          <w:sz w:val="20"/>
          <w:u w:val="single"/>
        </w:rPr>
        <w:t>Section 2.02</w:t>
      </w:r>
      <w:r>
        <w:rPr>
          <w:rFonts w:ascii="Times New Roman" w:hAnsi="Times New Roman"/>
          <w:color w:val="000000"/>
          <w:sz w:val="20"/>
        </w:rPr>
        <w:t>, the Exchange Fund shall be invested by the Paying Agent as directed by Parent in (i) short-term direct obligations of the United States of America (“</w:t>
      </w:r>
      <w:r>
        <w:rPr>
          <w:rFonts w:ascii="Times New Roman" w:hAnsi="Times New Roman"/>
          <w:color w:val="000000"/>
          <w:sz w:val="20"/>
          <w:u w:val="single"/>
        </w:rPr>
        <w:t>U.S.</w:t>
      </w:r>
      <w:r>
        <w:rPr>
          <w:rFonts w:ascii="Times New Roman" w:hAnsi="Times New Roman"/>
          <w:color w:val="000000"/>
          <w:sz w:val="20"/>
        </w:rPr>
        <w:t>”), (ii) short-term obligations for which the full faith and credit of the U.S. is pledged to provide for the payment of principal and interest, (iii) short-term commercial paper rated the highest quality by either Moody’s Investors Service, Inc. or Standard and Poor’s Ratings Services or (iv) certificates of deposit, bank repurchase agreements or banker’s acceptances of commercial banks with capital exceeding $1 billion.  Parent shall or shall cause the Surviving Corporation to promptly replace or restore the cash in the Exchange Fund so as to ensure that the Exchange Fund is at all times maintained at a level sufficient for the Paying Agent to make all payments of Merger Consideration in accordance herewith.  No investment losses resulting from investment of the funds deposited with the Paying Agent shall diminish the rights of any holder of shares of Company Common Stock to receive the Merger Consideration as provided herein.  Earnings on investments of the funds deposited with the Paying Agent shall be the sole and exclusive property of the Surviving Corporation, and no part of such earnings shall accrue to the benefit of holders of shares of Company Common Stock.</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(b)  </w:t>
      </w:r>
      <w:r>
        <w:rPr>
          <w:rFonts w:ascii="Times New Roman" w:hAnsi="Times New Roman"/>
          <w:color w:val="000000"/>
          <w:sz w:val="20"/>
          <w:u w:val="single"/>
        </w:rPr>
        <w:t>Payment Procedures</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720" w:right="0" w:firstLine="1080"/>
        <w:jc w:val="left"/>
        <w:rPr>
          <w:rFonts w:ascii="Times New Roman" w:hAnsi="Times New Roman"/>
          <w:color w:val="000000"/>
          <w:sz w:val="20"/>
        </w:rPr>
      </w:pPr>
      <w:r>
        <w:rPr>
          <w:rFonts w:ascii="Times New Roman" w:hAnsi="Times New Roman"/>
          <w:color w:val="000000"/>
          <w:sz w:val="20"/>
        </w:rPr>
        <w:t>(i)  As promptly as practicable after the Effective Time (but in no event more than three Business Days thereafter), Parent and the Surviving Corporation shall cause the Paying Agent to mail to each Person who was, at the Effective Time, a holder of a Share Certificate or Book-Entry Shares not held, directly or indirectly, through The Depository Trust Company (“</w:t>
      </w:r>
      <w:r>
        <w:rPr>
          <w:rFonts w:ascii="Times New Roman" w:hAnsi="Times New Roman"/>
          <w:color w:val="000000"/>
          <w:sz w:val="20"/>
          <w:u w:val="single"/>
        </w:rPr>
        <w:t>DTC</w:t>
      </w:r>
      <w:r>
        <w:rPr>
          <w:rFonts w:ascii="Times New Roman" w:hAnsi="Times New Roman"/>
          <w:color w:val="000000"/>
          <w:sz w:val="20"/>
        </w:rPr>
        <w:t xml:space="preserve">”) (other than a Share Certificate or Book-Entry Shares representing (A) shares of Company Common Stock to be canceled in accordance with </w:t>
      </w:r>
      <w:r>
        <w:rPr>
          <w:rFonts w:ascii="Times New Roman" w:hAnsi="Times New Roman"/>
          <w:color w:val="000000"/>
          <w:sz w:val="20"/>
          <w:u w:val="single"/>
        </w:rPr>
        <w:t>Section 2.01(b)</w:t>
      </w:r>
      <w:r>
        <w:rPr>
          <w:rFonts w:ascii="Times New Roman" w:hAnsi="Times New Roman"/>
          <w:color w:val="000000"/>
          <w:sz w:val="20"/>
        </w:rPr>
        <w:t xml:space="preserve"> or (B) Appraisal Shares, which shall be treated in accordance with </w:t>
      </w:r>
      <w:r>
        <w:rPr>
          <w:rFonts w:ascii="Times New Roman" w:hAnsi="Times New Roman"/>
          <w:color w:val="000000"/>
          <w:sz w:val="20"/>
          <w:u w:val="single"/>
        </w:rPr>
        <w:t>Section 2.08</w:t>
      </w:r>
      <w:r>
        <w:rPr>
          <w:rFonts w:ascii="Times New Roman" w:hAnsi="Times New Roman"/>
          <w:color w:val="000000"/>
          <w:sz w:val="20"/>
        </w:rPr>
        <w:t xml:space="preserve">) (x) a letter of transmittal (which shall specify that delivery shall be effected, and risk of loss and title to such Share Certificates or such Book-Entry Shares, as applicable, shall pass, only upon delivery of such Share Certificates (or affidavits in lieu thereof in accordance with </w:t>
      </w:r>
      <w:r>
        <w:rPr>
          <w:rFonts w:ascii="Times New Roman" w:hAnsi="Times New Roman"/>
          <w:color w:val="000000"/>
          <w:sz w:val="20"/>
          <w:u w:val="single"/>
        </w:rPr>
        <w:t>Section 2.02(d)</w:t>
      </w:r>
      <w:r>
        <w:rPr>
          <w:rFonts w:ascii="Times New Roman" w:hAnsi="Times New Roman"/>
          <w:color w:val="000000"/>
          <w:sz w:val="20"/>
        </w:rPr>
        <w:t xml:space="preserve">) to the Paying Agent or, in the case of such Book-Entry Shares, upon adherence to the procedures set forth in the letter of transmittal, and which shall be in such form and shall have such other customary provisions as Parent and the Company may reasonably agree prior to the Closing Date) and (y) instructions for use in effecting the surrender of such Share Certificates or such Book-Entry Shares to the Paying Agent, as applicable, in exchange for payment of the Merger Consideration as provided in </w:t>
      </w:r>
      <w:r>
        <w:rPr>
          <w:rFonts w:ascii="Times New Roman" w:hAnsi="Times New Roman"/>
          <w:color w:val="000000"/>
          <w:sz w:val="20"/>
          <w:u w:val="single"/>
        </w:rPr>
        <w:t>Section 2.01(c)</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720" w:right="0" w:firstLine="1080"/>
        <w:jc w:val="left"/>
        <w:rPr>
          <w:rFonts w:ascii="Times New Roman" w:hAnsi="Times New Roman"/>
          <w:color w:val="000000"/>
          <w:sz w:val="20"/>
        </w:rPr>
      </w:pPr>
      <w:r>
        <w:rPr>
          <w:rFonts w:ascii="Times New Roman" w:hAnsi="Times New Roman"/>
          <w:color w:val="000000"/>
          <w:sz w:val="20"/>
        </w:rPr>
        <w:t xml:space="preserve">(ii)  Upon delivery of a letter of transmittal, duly completed and validly executed in accordance with such letter’s instructions (and such other customary documents as may reasonably be required by the Paying Agent), and either (A) surrender to the Paying Agent of Share Certificates (or affidavits in lieu thereof in accordance with </w:t>
      </w:r>
      <w:r>
        <w:rPr>
          <w:rFonts w:ascii="Times New Roman" w:hAnsi="Times New Roman"/>
          <w:color w:val="000000"/>
          <w:sz w:val="20"/>
          <w:u w:val="single"/>
        </w:rPr>
        <w:t>Section 2.02(d)</w:t>
      </w:r>
      <w:r>
        <w:rPr>
          <w:rFonts w:ascii="Times New Roman" w:hAnsi="Times New Roman"/>
          <w:color w:val="000000"/>
          <w:sz w:val="20"/>
        </w:rPr>
        <w:t xml:space="preserve">) or (B) transfer of Book-Entry Shares not held through DTC, by book receipt of an “agent’s message” in customary form by the Paying Agent in connection with the surrender of Book-Entry Shares (or such other reasonable evidence, if any, of surrender with respect to such Book-Entry Shares as the Paying Agent may reasonably request), in each case as contemplated in </w:t>
      </w:r>
      <w:r>
        <w:rPr>
          <w:rFonts w:ascii="Times New Roman" w:hAnsi="Times New Roman"/>
          <w:color w:val="000000"/>
          <w:sz w:val="20"/>
          <w:u w:val="single"/>
        </w:rPr>
        <w:t>subsection (i)</w:t>
      </w:r>
      <w:r>
        <w:rPr>
          <w:rFonts w:ascii="Times New Roman" w:hAnsi="Times New Roman"/>
          <w:color w:val="000000"/>
          <w:sz w:val="20"/>
        </w:rPr>
        <w:t xml:space="preserve"> of this </w:t>
      </w:r>
      <w:r>
        <w:rPr>
          <w:rFonts w:ascii="Times New Roman" w:hAnsi="Times New Roman"/>
          <w:color w:val="000000"/>
          <w:sz w:val="20"/>
          <w:u w:val="single"/>
        </w:rPr>
        <w:t>Section 2.02(b)</w:t>
      </w:r>
      <w:r>
        <w:rPr>
          <w:rFonts w:ascii="Times New Roman" w:hAnsi="Times New Roman"/>
          <w:color w:val="000000"/>
          <w:sz w:val="20"/>
        </w:rPr>
        <w:t xml:space="preserve">, the holder of such Share Certificates or Book-Entry Shares shall be entitled to receive in exchange therefor the Merger Consideration for each share of Company Common Stock formerly represented by such Share Certificates or Book-Entry Shares, and the Share Certificates or Book-Entry Shares so surrendered shall forthwith be canceled.  Until surrendered as contemplated by this </w:t>
      </w:r>
      <w:r>
        <w:rPr>
          <w:rFonts w:ascii="Times New Roman" w:hAnsi="Times New Roman"/>
          <w:color w:val="000000"/>
          <w:sz w:val="20"/>
          <w:u w:val="single"/>
        </w:rPr>
        <w:t>Section 2.02</w:t>
      </w:r>
      <w:r>
        <w:rPr>
          <w:rFonts w:ascii="Times New Roman" w:hAnsi="Times New Roman"/>
          <w:color w:val="000000"/>
          <w:sz w:val="20"/>
        </w:rPr>
        <w:t xml:space="preserve">, each Share Certificate or Book-Entry Share shall be deemed at any time after the Effective Time to represent only the right to receive the Merger Consideration as contemplated by this </w:t>
      </w:r>
      <w:r>
        <w:rPr>
          <w:rFonts w:ascii="Times New Roman" w:hAnsi="Times New Roman"/>
          <w:color w:val="000000"/>
          <w:sz w:val="20"/>
          <w:u w:val="single"/>
        </w:rPr>
        <w:t>Article II</w:t>
      </w:r>
      <w:r>
        <w:rPr>
          <w:rFonts w:ascii="Times New Roman" w:hAnsi="Times New Roman"/>
          <w:color w:val="000000"/>
          <w:sz w:val="20"/>
        </w:rPr>
        <w: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720" w:right="0" w:firstLine="1080"/>
        <w:jc w:val="left"/>
        <w:rPr>
          <w:rFonts w:ascii="Times New Roman" w:hAnsi="Times New Roman"/>
          <w:color w:val="000000"/>
          <w:sz w:val="20"/>
        </w:rPr>
      </w:pPr>
      <w:r>
        <w:rPr>
          <w:rFonts w:ascii="Times New Roman" w:hAnsi="Times New Roman"/>
          <w:color w:val="000000"/>
          <w:sz w:val="20"/>
        </w:rPr>
        <w:t xml:space="preserve">(iii)  The Persons who were, at the Effective Time, holders of Book-Entry Shares (other than (i) shares of Company Common Stock to be canceled in accordance with </w:t>
      </w:r>
      <w:r>
        <w:rPr>
          <w:rFonts w:ascii="Times New Roman" w:hAnsi="Times New Roman"/>
          <w:color w:val="000000"/>
          <w:sz w:val="20"/>
          <w:u w:val="single"/>
        </w:rPr>
        <w:t>Section 2.01(b)</w:t>
      </w:r>
      <w:r>
        <w:rPr>
          <w:rFonts w:ascii="Times New Roman" w:hAnsi="Times New Roman"/>
          <w:color w:val="000000"/>
          <w:sz w:val="20"/>
        </w:rPr>
        <w:t xml:space="preserve"> or (ii) Appraisal Shares, which shall be treated in accordance with </w:t>
      </w:r>
      <w:r>
        <w:rPr>
          <w:rFonts w:ascii="Times New Roman" w:hAnsi="Times New Roman"/>
          <w:color w:val="000000"/>
          <w:sz w:val="20"/>
          <w:u w:val="single"/>
        </w:rPr>
        <w:t>Section 2.08</w:t>
      </w:r>
      <w:r>
        <w:rPr>
          <w:rFonts w:ascii="Times New Roman" w:hAnsi="Times New Roman"/>
          <w:color w:val="000000"/>
          <w:sz w:val="20"/>
        </w:rPr>
        <w:t xml:space="preserve">) held, directly or indirectly, through DTC shall not be required to deliver a Share Certificate or an executed letter of transmittal to the Paying Agent to receive the Merger Consideration that such holder is entitled to receive pursuant to this </w:t>
      </w:r>
      <w:r>
        <w:rPr>
          <w:rFonts w:ascii="Times New Roman" w:hAnsi="Times New Roman"/>
          <w:color w:val="000000"/>
          <w:sz w:val="20"/>
          <w:u w:val="single"/>
        </w:rPr>
        <w:t>Section 2.02</w:t>
      </w:r>
      <w:r>
        <w:rPr>
          <w:rFonts w:ascii="Times New Roman" w:hAnsi="Times New Roman"/>
          <w:color w:val="000000"/>
          <w:sz w:val="20"/>
        </w:rPr>
        <w:t xml:space="preserve">. With respect to such Book-Entry Shares held, directly or indirectly, through DTC, Parent and the Company shall cooperate to establish procedures with the Paying Agent, DTC, DTC’s nominees and such other necessary third-party intermediaries to ensure that the Paying Agent will transmit to DTC or its nominees as promptly as practicable after the Effective Time, upon surrender of Book-Entry Shares held of record by DTC or its nominees in accordance with DTC’s customary surrender procedures and such other procedures as agreed by Parent, the Company, the Paying Agent, DTC, DTC’s nominees and such other necessary third-party intermediaries, the aggregate Merger Consideration to which the beneficial owners thereof are entitled to receive as a result of the Merger pursuant to this </w:t>
      </w:r>
      <w:r>
        <w:rPr>
          <w:rFonts w:ascii="Times New Roman" w:hAnsi="Times New Roman"/>
          <w:color w:val="000000"/>
          <w:sz w:val="20"/>
          <w:u w:val="single"/>
        </w:rPr>
        <w:t>Section 2.02</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720" w:right="0" w:firstLine="1080"/>
        <w:jc w:val="left"/>
        <w:rPr>
          <w:rFonts w:ascii="Times New Roman" w:hAnsi="Times New Roman"/>
          <w:color w:val="000000"/>
          <w:sz w:val="20"/>
        </w:rPr>
      </w:pPr>
      <w:r>
        <w:rPr>
          <w:rFonts w:ascii="Times New Roman" w:hAnsi="Times New Roman"/>
          <w:color w:val="000000"/>
          <w:sz w:val="20"/>
        </w:rPr>
        <w:t>(iv)  If payment of the Merger Consideration is to be made to a Person other than the Person in whose name the surrendered Share Certificate is registered, Parent may cause the Paying Agent to pay the Merger Consideration to such Person only if such Share Certificate (if applicable) is presented to the Paying Agent, accompanied by all documents required to evidence and effect such transfer and to evidence to the reasonable satisfaction of the Paying Agent that any applicable stock transfer or similar Taxes have been paid or are not applicable.  Payment of the Merger Consideration with respect to Book-Entry Shares shall only be made to the Person in whose name such Book-Entry Shares are registered in the stock transfer records of the Company.</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(c)  </w:t>
      </w:r>
      <w:r>
        <w:rPr>
          <w:rFonts w:ascii="Times New Roman" w:hAnsi="Times New Roman"/>
          <w:color w:val="000000"/>
          <w:sz w:val="20"/>
          <w:u w:val="single"/>
        </w:rPr>
        <w:t>Transfer Books; No Further Ownership Rights</w:t>
      </w:r>
      <w:r>
        <w:rPr>
          <w:rFonts w:ascii="Times New Roman" w:hAnsi="Times New Roman"/>
          <w:color w:val="000000"/>
          <w:sz w:val="20"/>
        </w:rPr>
        <w:t xml:space="preserve">.  The Merger Consideration paid in respect of the shares of Company Common Stock in accordance with the terms of this </w:t>
      </w:r>
      <w:r>
        <w:rPr>
          <w:rFonts w:ascii="Times New Roman" w:hAnsi="Times New Roman"/>
          <w:color w:val="000000"/>
          <w:sz w:val="20"/>
          <w:u w:val="single"/>
        </w:rPr>
        <w:t>Article II</w:t>
      </w:r>
      <w:r>
        <w:rPr>
          <w:rFonts w:ascii="Times New Roman" w:hAnsi="Times New Roman"/>
          <w:color w:val="000000"/>
          <w:sz w:val="20"/>
        </w:rPr>
        <w:t xml:space="preserve"> shall be deemed to have been paid in full satisfaction of all ownership rights in such common stock, and at the Effective Time, the transfer books of the Company shall be closed and thereafter there shall be no further registration of transfers on the transfer books of the Surviving Corporation of the shares of Company Common Stock that were outstanding immediately prior to the Effective Time.  From and after the Effective Time, the holders of the shares of Company Common Stock outstanding immediately prior to the Effective Time shall cease to have any rights with respect to such shares except as otherwise provided for herein or by applicable Law.  Subject to the last sentence of </w:t>
      </w:r>
      <w:r>
        <w:rPr>
          <w:rFonts w:ascii="Times New Roman" w:hAnsi="Times New Roman"/>
          <w:color w:val="000000"/>
          <w:sz w:val="20"/>
          <w:u w:val="single"/>
        </w:rPr>
        <w:t>Section 2.02(e)</w:t>
      </w:r>
      <w:r>
        <w:rPr>
          <w:rFonts w:ascii="Times New Roman" w:hAnsi="Times New Roman"/>
          <w:color w:val="000000"/>
          <w:sz w:val="20"/>
        </w:rPr>
        <w:t xml:space="preserve">, if, at any time after the Effective Time, Share Certificates or Book-Entry Shares are presented to the Surviving Corporation, for any reason, they shall be canceled and exchanged as provided in this </w:t>
      </w:r>
      <w:r>
        <w:rPr>
          <w:rFonts w:ascii="Times New Roman" w:hAnsi="Times New Roman"/>
          <w:color w:val="000000"/>
          <w:sz w:val="20"/>
          <w:u w:val="single"/>
        </w:rPr>
        <w:t>Article II</w:t>
      </w:r>
      <w:r>
        <w:rPr>
          <w:rFonts w:ascii="Times New Roman" w:hAnsi="Times New Roman"/>
          <w:color w:val="000000"/>
          <w:sz w:val="20"/>
        </w:rPr>
        <w: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(d)  </w:t>
      </w:r>
      <w:r>
        <w:rPr>
          <w:rFonts w:ascii="Times New Roman" w:hAnsi="Times New Roman"/>
          <w:color w:val="000000"/>
          <w:sz w:val="20"/>
          <w:u w:val="single"/>
        </w:rPr>
        <w:t>Lost, Stolen or Destroyed Certificates</w:t>
      </w:r>
      <w:r>
        <w:rPr>
          <w:rFonts w:ascii="Times New Roman" w:hAnsi="Times New Roman"/>
          <w:color w:val="000000"/>
          <w:sz w:val="20"/>
        </w:rPr>
        <w:t xml:space="preserve">.  If any Share Certificate shall have been lost, stolen or destroyed, upon the making of an affidavit of that fact by the Person claiming such Share Certificate to be lost, stolen or destroyed and, if required by the Surviving Corporation, the posting by such Person of a bond, in such reasonable amount as Parent may direct, as indemnity against any claim that may be made against Parent with respect to such Share Certificate, the Paying Agent will pay, in exchange for such lost, stolen or destroyed Share Certificate, the applicable Merger Consideration to be paid in respect of the shares of Company Common Stock formerly represented by such Share Certificate as contemplated by this </w:t>
      </w:r>
      <w:r>
        <w:rPr>
          <w:rFonts w:ascii="Times New Roman" w:hAnsi="Times New Roman"/>
          <w:color w:val="000000"/>
          <w:sz w:val="20"/>
          <w:u w:val="single"/>
        </w:rPr>
        <w:t>Article II</w:t>
      </w:r>
      <w:r>
        <w:rPr>
          <w:rFonts w:ascii="Times New Roman" w:hAnsi="Times New Roman"/>
          <w:color w:val="000000"/>
          <w:sz w:val="20"/>
        </w:rPr>
        <w:t>.</w:t>
      </w:r>
    </w:p>
    <w:p>
      <w:pPr>
        <w:pStyle w:val="TextBody"/>
        <w:bidi w:val="0"/>
        <w:spacing w:before="0" w:after="0"/>
        <w:jc w:val="left"/>
        <w:rPr/>
      </w:pPr>
      <w:r>
        <w:rPr/>
      </w:r>
    </w:p>
    <w:p>
      <w:pPr>
        <w:pStyle w:val="TextBody"/>
        <w:bidi w:val="0"/>
        <w:spacing w:lineRule="auto" w:line="240" w:before="0" w:after="0"/>
        <w:ind w:left="0" w:right="0" w:firstLine="1440"/>
        <w:jc w:val="left"/>
        <w:rPr>
          <w:rFonts w:ascii="Times New Roman" w:hAnsi="Times New Roman"/>
          <w:color w:val="000000"/>
          <w:sz w:val="20"/>
        </w:rPr>
      </w:pPr>
      <w:r>
        <w:rPr>
          <w:rFonts w:ascii="Times New Roman" w:hAnsi="Times New Roman"/>
          <w:color w:val="000000"/>
          <w:sz w:val="20"/>
        </w:rPr>
        <w:t xml:space="preserve">(e)  </w:t>
      </w:r>
      <w:r>
        <w:rPr>
          <w:rFonts w:ascii="Times New Roman" w:hAnsi="Times New Roman"/>
          <w:color w:val="000000"/>
          <w:sz w:val="20"/>
          <w:u w:val="single"/>
        </w:rPr>
        <w:t>Termination of Exchange Fund</w:t>
      </w:r>
      <w:r>
        <w:rPr>
          <w:rFonts w:ascii="Times New Roman" w:hAnsi="Times New Roman"/>
          <w:color w:val="000000"/>
          <w:sz w:val="20"/>
        </w:rPr>
        <w:t xml:space="preserve">.  At any time following the first (1st) anniversary of the Closing Date, the Surviving Corporation shall be entitled to require the Paying Agent to deliver to the Surviving Corporation (or its designee) any portion of the Exchange Fund (including any interest received with respect thereto) which has not been disbursed to holders of Share Certificates or Book-Entry Shares, and thereafter such holders who have not heretofore complied with this </w:t>
      </w:r>
      <w:r>
        <w:rPr>
          <w:rFonts w:ascii="Times New Roman" w:hAnsi="Times New Roman"/>
          <w:color w:val="000000"/>
          <w:sz w:val="20"/>
          <w:u w:val="single"/>
        </w:rPr>
        <w:t>Article II</w:t>
      </w:r>
      <w:r>
        <w:rPr>
          <w:rFonts w:ascii="Times New Roman" w:hAnsi="Times New Roman"/>
          <w:color w:val="000000"/>
          <w:sz w:val="20"/>
        </w:rPr>
        <w:t xml:space="preserve"> shall be entitled to look only to Parent and the Surviving Corporation, as applicable, for, and Parent and the Surviving Corporation shall remain liable for, payment of such holders’ claims for the Merger Consideration pursuant to the provisions of this </w:t>
      </w:r>
      <w:r>
        <w:rPr>
          <w:rFonts w:ascii="Times New Roman" w:hAnsi="Times New Roman"/>
          <w:color w:val="000000"/>
          <w:sz w:val="20"/>
          <w:u w:val="single"/>
        </w:rPr>
        <w:t>Article II</w:t>
      </w:r>
      <w:r>
        <w:rPr>
          <w:rFonts w:ascii="Times New Roman" w:hAnsi="Times New Roman"/>
          <w:color w:val="000000"/>
          <w:sz w:val="20"/>
        </w:rPr>
        <w:t xml:space="preserve">.  Any amounts remaining unclaimed by such holders at such time at which such amounts would otherwise escheat to or become property of any Governmental Authority shall become, to the extent permitted by applicable Law, the property of Parent or its designee, free and clear of all claims or interest of any Person previously entitled thereto.  Any portion of the Merger Consideration deposited with the Paying Agent for disbursement pursuant to </w:t>
      </w:r>
      <w:r>
        <w:rPr>
          <w:rFonts w:ascii="Times New Roman" w:hAnsi="Times New Roman"/>
          <w:color w:val="000000"/>
          <w:sz w:val="20"/>
          <w:u w:val="single"/>
        </w:rPr>
        <w:t>Section 2.02(a)</w:t>
      </w:r>
      <w:r>
        <w:rPr>
          <w:rFonts w:ascii="Times New Roman" w:hAnsi="Times New Roman"/>
          <w:color w:val="000000"/>
          <w:sz w:val="20"/>
        </w:rPr>
        <w:t xml:space="preserve"> for which appraisal rights have been perfected shall be returned to the Surviving Corporation or Parent upon demand.</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(f)  </w:t>
      </w:r>
      <w:r>
        <w:rPr>
          <w:rFonts w:ascii="Times New Roman" w:hAnsi="Times New Roman"/>
          <w:color w:val="000000"/>
          <w:sz w:val="20"/>
          <w:u w:val="single"/>
        </w:rPr>
        <w:t>No Liability</w:t>
      </w:r>
      <w:r>
        <w:rPr>
          <w:rFonts w:ascii="Times New Roman" w:hAnsi="Times New Roman"/>
          <w:color w:val="000000"/>
          <w:sz w:val="20"/>
        </w:rPr>
        <w:t>.  Notwithstanding any provision of this Agreement to the contrary, none of the parties hereto, the Surviving Corporation or the Paying Agent shall be liable to any Person for Merger Consideration properly delivered to a public official pursuant to any applicable state, federal or other abandoned property, escheat or similar Law.</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(g)  </w:t>
      </w:r>
      <w:r>
        <w:rPr>
          <w:rFonts w:ascii="Times New Roman" w:hAnsi="Times New Roman"/>
          <w:color w:val="000000"/>
          <w:sz w:val="20"/>
          <w:u w:val="single"/>
        </w:rPr>
        <w:t>Withholding</w:t>
      </w:r>
      <w:r>
        <w:rPr>
          <w:rFonts w:ascii="Times New Roman" w:hAnsi="Times New Roman"/>
          <w:color w:val="000000"/>
          <w:sz w:val="20"/>
        </w:rPr>
        <w:t>.  Each of Parent, Merger Sub, the Company, the Surviving Corporation, the Paying Agent and their respective Affiliates shall be entitled to deduct and withhold (or cause to be deducted and withheld) from any amounts otherwise payable pursuant to this Agreement such amounts as are required to be deducted or withheld under applicable Tax Law.  If any of Parent, Merger Sub, the Company, the Surviving Corporation, the Paying Agent or their respective Affiliates determines that it is required to deduct and withhold any amount payable pursuant to this Agreement, then, except with respect to the payment of wages or other amounts treated as employee compensation, it shall use reasonable best efforts to (i) provide a notice to such Person in respect of which such deduction and withholding is required to be made setting forth the amount of the anticipated deduction and withholding and (ii) cooperate with such Person in good faith to minimize the amount of deduction and withholding.  To the extent that amounts are so deducted or withheld and paid over to the relevant Governmental Authority, such amounts shall be treated for all purposes of this Agreement as having been paid to the Person in respect of which such deduction or withholding was made. Notwithstanding anything to the contrary herein, any compensatory amounts subject to payroll reporting and withholding that are payable pursuant to or as contemplated by this Agreement shall be payable in accordance with the applicable payroll procedures of the Company.</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2.03.  </w:t>
      </w:r>
      <w:r>
        <w:rPr>
          <w:rFonts w:ascii="Times New Roman" w:hAnsi="Times New Roman"/>
          <w:color w:val="000000"/>
          <w:sz w:val="20"/>
          <w:u w:val="single"/>
        </w:rPr>
        <w:t>Treatment of Equity-Based Incentive Awards</w:t>
      </w:r>
      <w:r>
        <w:rPr>
          <w:rFonts w:ascii="Times New Roman" w:hAnsi="Times New Roman"/>
          <w:color w:val="000000"/>
          <w:sz w:val="20"/>
        </w:rPr>
        <w:t>.  Prior to the Effective Time, the Board of Directors of the Company (or, if appropriate, any duly authorized committee thereof administering the Equity Plans) shall adopt such resolutions and take such other actions as may be required to provide for the following:</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(a)  Each Company RSU outstanding immediately prior to the Effective Time that is or becomes vested in accordance with its terms at the Effective Time (each, a “</w:t>
      </w:r>
      <w:r>
        <w:rPr>
          <w:rFonts w:ascii="Times New Roman" w:hAnsi="Times New Roman"/>
          <w:color w:val="000000"/>
          <w:sz w:val="20"/>
          <w:u w:val="single"/>
        </w:rPr>
        <w:t>Vested Company RSU</w:t>
      </w:r>
      <w:r>
        <w:rPr>
          <w:rFonts w:ascii="Times New Roman" w:hAnsi="Times New Roman"/>
          <w:color w:val="000000"/>
          <w:sz w:val="20"/>
        </w:rPr>
        <w:t>”) shall, as of the Effective Time, be canceled and the holder thereof shall then become entitled to receive solely, in full satisfaction of the rights of such holder with respect thereto, a lump-sum cash payment, without interest, equal to the product, rounded up to the nearest cent, of (i) the number of shares of Company Common Stock subject to such Vested Company RSU immediately prior to the Effective Time and (ii) the Merger Consideration.</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(b)  Each Company RSU outstanding immediately prior to the Effective Time that is not a Vested Company RSU shall, as of the Effective Time, be assumed by Parent and converted into restricted stock units relating to a number of Parent Class B Shares (each, an “</w:t>
      </w:r>
      <w:r>
        <w:rPr>
          <w:rFonts w:ascii="Times New Roman" w:hAnsi="Times New Roman"/>
          <w:color w:val="000000"/>
          <w:sz w:val="20"/>
          <w:u w:val="single"/>
        </w:rPr>
        <w:t>Assumed RSU</w:t>
      </w:r>
      <w:r>
        <w:rPr>
          <w:rFonts w:ascii="Times New Roman" w:hAnsi="Times New Roman"/>
          <w:color w:val="000000"/>
          <w:sz w:val="20"/>
        </w:rPr>
        <w:t>”) equal to the product, rounded up to the nearest whole share, of (i) the number of shares of Company Common Stock underlying such Company RSU, multiplied by (ii) the Exchange Ratio, with the same terms and conditions that applied to such Company RSU immediately prior to the Effective Time (including vesting, effect of termination of employment and dividend equivalents).</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(c)  Each Company Stock Option outstanding and unexercised immediately prior to the Effective Time that is or becomes vested in accordance with its terms at the Effective Time (each, a “</w:t>
      </w:r>
      <w:r>
        <w:rPr>
          <w:rFonts w:ascii="Times New Roman" w:hAnsi="Times New Roman"/>
          <w:color w:val="000000"/>
          <w:sz w:val="20"/>
          <w:u w:val="single"/>
        </w:rPr>
        <w:t>Vested Company Stock Option</w:t>
      </w:r>
      <w:r>
        <w:rPr>
          <w:rFonts w:ascii="Times New Roman" w:hAnsi="Times New Roman"/>
          <w:color w:val="000000"/>
          <w:sz w:val="20"/>
        </w:rPr>
        <w:t xml:space="preserve">”) shall, as of the Effective Time, be canceled and the holder thereof shall then become entitled to receive solely, in full satisfaction of the rights of such holder with respect thereto, a lump-sum cash payment, without interest, equal to the product, rounded up to the nearest cent, of (i) the number of shares of Company Common Stock subject to such Vested Company Stock Option immediately prior to the Effective Time and (ii) the excess, if any, of (A) the Merger Consideration over (B) the per share exercise price of such Vested Company Stock Option;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any such Vested Company Stock Option with a per share exercise price that is equal to or greater than the Merger Consideration shall be canceled for no consideration.</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(d)  Each unvested Company Stock Option outstanding and unexercised immediately prior to the Effective Time that is not a Vested Company Stock Option shall, as of the Effective Time, be assumed by Parent and converted into an option (each an “</w:t>
      </w:r>
      <w:r>
        <w:rPr>
          <w:rFonts w:ascii="Times New Roman" w:hAnsi="Times New Roman"/>
          <w:color w:val="000000"/>
          <w:sz w:val="20"/>
          <w:u w:val="single"/>
        </w:rPr>
        <w:t>Assumed Option</w:t>
      </w:r>
      <w:r>
        <w:rPr>
          <w:rFonts w:ascii="Times New Roman" w:hAnsi="Times New Roman"/>
          <w:color w:val="000000"/>
          <w:sz w:val="20"/>
        </w:rPr>
        <w:t xml:space="preserve">”) to purchase Parent Class B Shares. Each Assumed Option will continue to have, and be subject to, the same terms and conditions as in effect immediately prior to the Effective Time (including with respect to vesting and effect of termination of employment), except that (i) each Assumed Option shall be exercisable (or will become exercisable in accordance with its terms) for that number of Parent Class B Shares equal to the product, rounded down to the nearest whole share, of (A) the number of shares of Company Common Stock that were issuable upon exercise of such Company Stock Option immediately prior to the Effective Time multiplied by (B) the Exchange Ratio and (ii) the per share exercise price for the Parent Class B Shares issuable upon exercise of such Assumed Option shall be equal to the quotient, rounded up to the nearest whole cent, determined by dividing (A) the exercise price per share of Company Common Stock at which such Company Stock Option was exercisable immediately prior to the Effective Time by (B) the Exchange Ratio. The conversion of Assumed Options provided for in this </w:t>
      </w:r>
      <w:r>
        <w:rPr>
          <w:rFonts w:ascii="Times New Roman" w:hAnsi="Times New Roman"/>
          <w:color w:val="000000"/>
          <w:sz w:val="20"/>
          <w:u w:val="single"/>
        </w:rPr>
        <w:t>Section 2.03(d)</w:t>
      </w:r>
      <w:r>
        <w:rPr>
          <w:rFonts w:ascii="Times New Roman" w:hAnsi="Times New Roman"/>
          <w:color w:val="000000"/>
          <w:sz w:val="20"/>
        </w:rPr>
        <w:t xml:space="preserve"> shall be effected in a manner consistent with Section 409A of the Code.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2.04.  </w:t>
      </w:r>
      <w:r>
        <w:rPr>
          <w:rFonts w:ascii="Times New Roman" w:hAnsi="Times New Roman"/>
          <w:color w:val="000000"/>
          <w:sz w:val="20"/>
          <w:u w:val="single"/>
        </w:rPr>
        <w:t>Payments with Respect to Equity-Based Incentive Awards</w:t>
      </w:r>
      <w:r>
        <w:rPr>
          <w:rFonts w:ascii="Times New Roman" w:hAnsi="Times New Roman"/>
          <w:color w:val="000000"/>
          <w:sz w:val="20"/>
        </w:rPr>
        <w:t xml:space="preserve">.  Notwithstanding anything in this Agreement to the contrary, all amounts payable pursuant to this </w:t>
      </w:r>
      <w:r>
        <w:rPr>
          <w:rFonts w:ascii="Times New Roman" w:hAnsi="Times New Roman"/>
          <w:color w:val="000000"/>
          <w:sz w:val="20"/>
          <w:u w:val="single"/>
        </w:rPr>
        <w:t>Article II</w:t>
      </w:r>
      <w:r>
        <w:rPr>
          <w:rFonts w:ascii="Times New Roman" w:hAnsi="Times New Roman"/>
          <w:color w:val="000000"/>
          <w:sz w:val="20"/>
        </w:rPr>
        <w:t xml:space="preserve"> in respect of each Equity-Based Award shall be paid as promptly as reasonably practicable after the Effective Time (but in any event, no later than the first payroll date that occurs more than five Business Days after the Effective Time) by the Surviving Corporation or any of its Subsidiaries through their payroll systems, less applicable Tax withholdings, to the holders of the Equity-Based Awards (or such other method as the Company typically utilizes for such payments);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to the extent any such payment would cause an impermissible acceleration event under Section 409A of the Code (“</w:t>
      </w:r>
      <w:r>
        <w:rPr>
          <w:rFonts w:ascii="Times New Roman" w:hAnsi="Times New Roman"/>
          <w:color w:val="000000"/>
          <w:sz w:val="20"/>
          <w:u w:val="single"/>
        </w:rPr>
        <w:t>Section 409A</w:t>
      </w:r>
      <w:r>
        <w:rPr>
          <w:rFonts w:ascii="Times New Roman" w:hAnsi="Times New Roman"/>
          <w:color w:val="000000"/>
          <w:sz w:val="20"/>
        </w:rPr>
        <w:t>”), such amounts shall be paid at the earliest time such payment would not cause an impermissible acceleration event under Section 409A.</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2.05.  </w:t>
      </w:r>
      <w:r>
        <w:rPr>
          <w:rFonts w:ascii="Times New Roman" w:hAnsi="Times New Roman"/>
          <w:color w:val="000000"/>
          <w:sz w:val="20"/>
          <w:u w:val="single"/>
        </w:rPr>
        <w:t>Company ESPP</w:t>
      </w:r>
      <w:r>
        <w:rPr>
          <w:rFonts w:ascii="Times New Roman" w:hAnsi="Times New Roman"/>
          <w:color w:val="000000"/>
          <w:sz w:val="20"/>
        </w:rPr>
        <w:t>.  Prior to the Effective Time, the Board of Directors of the Company (or, if appropriate, any duly authorized committee thereof administering the Company 2021 Employee Stock Purchase Plan (the “</w:t>
      </w:r>
      <w:r>
        <w:rPr>
          <w:rFonts w:ascii="Times New Roman" w:hAnsi="Times New Roman"/>
          <w:color w:val="000000"/>
          <w:sz w:val="20"/>
          <w:u w:val="single"/>
        </w:rPr>
        <w:t>Company ESPP</w:t>
      </w:r>
      <w:r>
        <w:rPr>
          <w:rFonts w:ascii="Times New Roman" w:hAnsi="Times New Roman"/>
          <w:color w:val="000000"/>
          <w:sz w:val="20"/>
        </w:rPr>
        <w:t>”)) shall take all actions as it deems necessary or appropriate to ensure that (i) no Offering or Purchase Period (each, as defined in the Company ESPP) under the Company ESPP shall be commenced on or after the date of this Agreement, (ii) beginning on the date of this Agreement, no new participants may join the Company ESPP during the Purchase Period in existence under the Company ESPP as of the date of this Agreement (such purchase period, the “</w:t>
      </w:r>
      <w:r>
        <w:rPr>
          <w:rFonts w:ascii="Times New Roman" w:hAnsi="Times New Roman"/>
          <w:color w:val="000000"/>
          <w:sz w:val="20"/>
          <w:u w:val="single"/>
        </w:rPr>
        <w:t>Existing Purchase Period</w:t>
      </w:r>
      <w:r>
        <w:rPr>
          <w:rFonts w:ascii="Times New Roman" w:hAnsi="Times New Roman"/>
          <w:color w:val="000000"/>
          <w:sz w:val="20"/>
        </w:rPr>
        <w:t>”), (iii) beginning on the date of this Agreement, no participant may increase the amount of his or her payroll deductions with respect to the Existing Purchase Period and (iv) the Company ESPP shall terminate on the earlier of (A) immediately following the Existing Purchase Period and (B) two (2) Business Days prior to the Effective Time, in which case all participant contributions under the Company ESPP shall be used to purchase shares of Company Common Stock on such date in accordance with the terms of the Company ESPP as if such date was the last day of the Existing Purchase Period (such earlier date, the “</w:t>
      </w:r>
      <w:r>
        <w:rPr>
          <w:rFonts w:ascii="Times New Roman" w:hAnsi="Times New Roman"/>
          <w:color w:val="000000"/>
          <w:sz w:val="20"/>
          <w:u w:val="single"/>
        </w:rPr>
        <w:t>ESPP Purchase Date</w:t>
      </w:r>
      <w:r>
        <w:rPr>
          <w:rFonts w:ascii="Times New Roman" w:hAnsi="Times New Roman"/>
          <w:color w:val="000000"/>
          <w:sz w:val="20"/>
        </w:rPr>
        <w:t xml:space="preserve">”).  Shares purchased pursuant to this </w:t>
      </w:r>
      <w:r>
        <w:rPr>
          <w:rFonts w:ascii="Times New Roman" w:hAnsi="Times New Roman"/>
          <w:color w:val="000000"/>
          <w:sz w:val="20"/>
          <w:u w:val="single"/>
        </w:rPr>
        <w:t>Section 2.05</w:t>
      </w:r>
      <w:r>
        <w:rPr>
          <w:rFonts w:ascii="Times New Roman" w:hAnsi="Times New Roman"/>
          <w:color w:val="000000"/>
          <w:sz w:val="20"/>
        </w:rPr>
        <w:t xml:space="preserve"> shall be treated as all other shares of Company Common Stock under </w:t>
      </w:r>
      <w:r>
        <w:rPr>
          <w:rFonts w:ascii="Times New Roman" w:hAnsi="Times New Roman"/>
          <w:color w:val="000000"/>
          <w:sz w:val="20"/>
          <w:u w:val="single"/>
        </w:rPr>
        <w:t>Section 2.01(c)</w:t>
      </w:r>
      <w:r>
        <w:rPr>
          <w:rFonts w:ascii="Times New Roman" w:hAnsi="Times New Roman"/>
          <w:color w:val="000000"/>
          <w:sz w:val="20"/>
        </w:rPr>
        <w:t xml:space="preserve">. The Board of Directors of the Company shall adopt resolutions and take all other actions that may be reasonably necessary to terminate the ESPP effective as of the termination date referenced in </w:t>
      </w:r>
      <w:r>
        <w:rPr>
          <w:rFonts w:ascii="Times New Roman" w:hAnsi="Times New Roman"/>
          <w:color w:val="000000"/>
          <w:sz w:val="20"/>
          <w:u w:val="single"/>
        </w:rPr>
        <w:t>clause (iv)</w:t>
      </w:r>
      <w:r>
        <w:rPr>
          <w:rFonts w:ascii="Times New Roman" w:hAnsi="Times New Roman"/>
          <w:color w:val="000000"/>
          <w:sz w:val="20"/>
        </w:rPr>
        <w:t xml:space="preserve"> of this </w:t>
      </w:r>
      <w:r>
        <w:rPr>
          <w:rFonts w:ascii="Times New Roman" w:hAnsi="Times New Roman"/>
          <w:color w:val="000000"/>
          <w:sz w:val="20"/>
          <w:u w:val="single"/>
        </w:rPr>
        <w:t>Section 2.05</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2.06.  </w:t>
      </w:r>
      <w:r>
        <w:rPr>
          <w:rFonts w:ascii="Times New Roman" w:hAnsi="Times New Roman"/>
          <w:color w:val="000000"/>
          <w:sz w:val="20"/>
          <w:u w:val="single"/>
        </w:rPr>
        <w:t>Treatment of Company Warrants</w:t>
      </w:r>
      <w:r>
        <w:rPr>
          <w:rFonts w:ascii="Times New Roman" w:hAnsi="Times New Roman"/>
          <w:color w:val="000000"/>
          <w:sz w:val="20"/>
        </w:rPr>
        <w:t xml:space="preserve">.  Each Company Warrant that is issued and outstanding as of immediately prior to the Effective Time shall, immediately following the Effective Time, continue to be outstanding according to its terms; </w:t>
      </w:r>
      <w:r>
        <w:rPr>
          <w:rFonts w:ascii="Times New Roman" w:hAnsi="Times New Roman"/>
          <w:color w:val="000000"/>
          <w:sz w:val="20"/>
          <w:u w:val="single"/>
        </w:rPr>
        <w:t>provided</w:t>
      </w:r>
      <w:r>
        <w:rPr>
          <w:rFonts w:ascii="Times New Roman" w:hAnsi="Times New Roman"/>
          <w:color w:val="000000"/>
          <w:sz w:val="20"/>
        </w:rPr>
        <w:t xml:space="preserve"> that, following the Effective Time, each Company Warrant shall, automatically and without any required action on the part of the holder thereof or any other Person, cease to become exercisable for Company Common Stock and become exercisable solely in exchange for the receipt of the Merger Consideration with respect to the aggregate number of Company Common Stock for which such Company Warrant was exercisable for immediately prior to the Effective Time.  Pursuant to the Warrant Agreement, if a holder properly exercises a Company Warrant within 30 days following the Company’s public disclosure of the consummation of the Merger in a Current Report on Form 8</w:t>
        <w:noBreakHyphen/>
        <w:t>K, then the exercise price per share under such Company Warrant (the “</w:t>
      </w:r>
      <w:r>
        <w:rPr>
          <w:rFonts w:ascii="Times New Roman" w:hAnsi="Times New Roman"/>
          <w:color w:val="000000"/>
          <w:sz w:val="20"/>
          <w:u w:val="single"/>
        </w:rPr>
        <w:t>Warrant Price</w:t>
      </w:r>
      <w:r>
        <w:rPr>
          <w:rFonts w:ascii="Times New Roman" w:hAnsi="Times New Roman"/>
          <w:color w:val="000000"/>
          <w:sz w:val="20"/>
        </w:rPr>
        <w:t>”) with respect to such exercise shall be reduced by an amount (in dollars, and in no event less than zero) equal to the difference of (i) the Warrant Price in effect immediately prior to such reduction minus (ii) (A) the Merger Consideration minus (B) the Black</w:t>
        <w:noBreakHyphen/>
        <w:t>Scholes Warrant Value (as defined and determined in accordance with the Warrant Agreement).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2.07.  </w:t>
      </w:r>
      <w:r>
        <w:rPr>
          <w:rFonts w:ascii="Times New Roman" w:hAnsi="Times New Roman"/>
          <w:color w:val="000000"/>
          <w:sz w:val="20"/>
          <w:u w:val="single"/>
        </w:rPr>
        <w:t>Adjustments</w:t>
      </w:r>
      <w:r>
        <w:rPr>
          <w:rFonts w:ascii="Times New Roman" w:hAnsi="Times New Roman"/>
          <w:color w:val="000000"/>
          <w:sz w:val="20"/>
        </w:rPr>
        <w:t xml:space="preserve">.  If between the date hereof and the Effective Time, the outstanding shares of Company Common Stock shall have been changed into a different number of shares or a different class by reason of the occurrence or record date of any stock split, reverse stock split, dividend (including any dividend or other distribution of securities convertible into shares of Company Common Stock), reorganization, recapitalization, reclassification, combination, exchange of shares or other like change, the Merger Consideration and any other amounts payable pursuant to this </w:t>
      </w:r>
      <w:r>
        <w:rPr>
          <w:rFonts w:ascii="Times New Roman" w:hAnsi="Times New Roman"/>
          <w:color w:val="000000"/>
          <w:sz w:val="20"/>
          <w:u w:val="single"/>
        </w:rPr>
        <w:t>Article II</w:t>
      </w:r>
      <w:r>
        <w:rPr>
          <w:rFonts w:ascii="Times New Roman" w:hAnsi="Times New Roman"/>
          <w:color w:val="000000"/>
          <w:sz w:val="20"/>
        </w:rPr>
        <w:t xml:space="preserve"> shall be equitably adjusted to reflect such stock split, reverse stock split, dividend (including any dividend or other distribution of securities convertible into shares of Company Common Stock), reorganization, recapitalization, reclassification, combination, exchange of shares or other like change; </w:t>
      </w:r>
      <w:r>
        <w:rPr>
          <w:rFonts w:ascii="Times New Roman" w:hAnsi="Times New Roman"/>
          <w:color w:val="000000"/>
          <w:sz w:val="20"/>
          <w:u w:val="single"/>
        </w:rPr>
        <w:t>provided</w:t>
      </w:r>
      <w:r>
        <w:rPr>
          <w:rFonts w:ascii="Times New Roman" w:hAnsi="Times New Roman"/>
          <w:color w:val="000000"/>
          <w:sz w:val="20"/>
        </w:rPr>
        <w:t xml:space="preserve"> that nothing in this </w:t>
      </w:r>
      <w:r>
        <w:rPr>
          <w:rFonts w:ascii="Times New Roman" w:hAnsi="Times New Roman"/>
          <w:color w:val="000000"/>
          <w:sz w:val="20"/>
          <w:u w:val="single"/>
        </w:rPr>
        <w:t>Section 2.07</w:t>
      </w:r>
      <w:r>
        <w:rPr>
          <w:rFonts w:ascii="Times New Roman" w:hAnsi="Times New Roman"/>
          <w:color w:val="000000"/>
          <w:sz w:val="20"/>
        </w:rPr>
        <w:t xml:space="preserve"> shall be deemed to permit or authorize the Company (or any of its Subsidiaries or any of the Affiliated Professional Entities) to take any action or effect any change that the Company (or any of its Subsidiaries or any of the Affiliated Professional Entities) is not otherwise authorized or permitted to take pursuant to </w:t>
      </w:r>
      <w:r>
        <w:rPr>
          <w:rFonts w:ascii="Times New Roman" w:hAnsi="Times New Roman"/>
          <w:color w:val="000000"/>
          <w:sz w:val="20"/>
          <w:u w:val="single"/>
        </w:rPr>
        <w:t>Section 5.01</w:t>
      </w:r>
      <w:r>
        <w:rPr>
          <w:rFonts w:ascii="Times New Roman" w:hAnsi="Times New Roman"/>
          <w:color w:val="000000"/>
          <w:sz w:val="20"/>
        </w:rPr>
        <w:t xml:space="preserve"> or any other provision of this Agreement.</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2.08.  </w:t>
      </w:r>
      <w:r>
        <w:rPr>
          <w:rFonts w:ascii="Times New Roman" w:hAnsi="Times New Roman"/>
          <w:color w:val="000000"/>
          <w:sz w:val="20"/>
          <w:u w:val="single"/>
        </w:rPr>
        <w:t>Appraisal Rights</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(a)  Notwithstanding anything in this Agreement to the contrary, shares of Company Common Stock that are outstanding immediately prior to the Effective Time and that are held by any Person who is entitled to demand and properly demands appraisal of such shares pursuant to, and who complies in all respects with, Section 262 of the DGCL (“</w:t>
      </w:r>
      <w:r>
        <w:rPr>
          <w:rFonts w:ascii="Times New Roman" w:hAnsi="Times New Roman"/>
          <w:color w:val="000000"/>
          <w:sz w:val="20"/>
          <w:u w:val="single"/>
        </w:rPr>
        <w:t>Appraisal Shares</w:t>
      </w:r>
      <w:r>
        <w:rPr>
          <w:rFonts w:ascii="Times New Roman" w:hAnsi="Times New Roman"/>
          <w:color w:val="000000"/>
          <w:sz w:val="20"/>
        </w:rPr>
        <w:t xml:space="preserve">”) shall not be converted into the right to receive the Merger Consideration as provided in </w:t>
      </w:r>
      <w:r>
        <w:rPr>
          <w:rFonts w:ascii="Times New Roman" w:hAnsi="Times New Roman"/>
          <w:color w:val="000000"/>
          <w:sz w:val="20"/>
          <w:u w:val="single"/>
        </w:rPr>
        <w:t>Section 2.01(c)</w:t>
      </w:r>
      <w:r>
        <w:rPr>
          <w:rFonts w:ascii="Times New Roman" w:hAnsi="Times New Roman"/>
          <w:color w:val="000000"/>
          <w:sz w:val="20"/>
        </w:rPr>
        <w:t xml:space="preserve">, but instead shall be canceled and shall represent the right to receive only those rights provided under Section 262 of the DGCL;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if any such Person shall fail to perfect or otherwise shall waive, withdraw or lose the right to appraisal under Section 262 of the DGCL, then the right of such Person to receive those rights under Section 262 of the DGCL shall cease and such Appraisal Shares shall be deemed to have been converted as of the Effective Time into, and shall represent only the right to receive, the Merger Consideration as provided in </w:t>
      </w:r>
      <w:r>
        <w:rPr>
          <w:rFonts w:ascii="Times New Roman" w:hAnsi="Times New Roman"/>
          <w:color w:val="000000"/>
          <w:sz w:val="20"/>
          <w:u w:val="single"/>
        </w:rPr>
        <w:t>Section 2.01(c)</w:t>
      </w:r>
      <w:r>
        <w:rPr>
          <w:rFonts w:ascii="Times New Roman" w:hAnsi="Times New Roman"/>
          <w:color w:val="000000"/>
          <w:sz w:val="20"/>
        </w:rPr>
        <w:t>, without interest thereon.</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(b)  The Company shall give prompt notice to Parent of any demands received by the Company for appraisal of any shares of Company Common Stock and Parent shall have the right to participate in and direct all negotiations and Actions with respect to such demands.  Prior to the Effective Time, the Company shall not, without the prior written consent of Parent, make any payment with respect to, or settle or offer to settle, any such demands or notices of dissent, waive any failure to timely deliver a written demand for appraisal under the DGCL, approve any withdrawal of any such demands, or offer, propose or otherwise agree to do any of the foregoing.  Parent shall not, except with the prior written consent of the Company (such consent not to be unreasonably withheld, delayed or conditioned), require the Company to make any payment with respect to any demands for appraisal or notices of dissent or offer to settle or settle any such demands or notices.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2.09.  </w:t>
      </w:r>
      <w:r>
        <w:rPr>
          <w:rFonts w:ascii="Times New Roman" w:hAnsi="Times New Roman"/>
          <w:color w:val="000000"/>
          <w:sz w:val="20"/>
          <w:u w:val="single"/>
        </w:rPr>
        <w:t>Parent Actions</w:t>
      </w:r>
      <w:r>
        <w:rPr>
          <w:rFonts w:ascii="Times New Roman" w:hAnsi="Times New Roman"/>
          <w:color w:val="000000"/>
          <w:sz w:val="20"/>
        </w:rPr>
        <w:t>.  As soon as practicable after the Effective Time, Parent shall take all corporate action reasonably necessary to (i) reserve for issuance a sufficient number of Parent Class B Shares for issuance with respect to the Assumed Options and Assumed RSUs and (ii) cause the registration of Parent Class B Shares issuable with respect to the Assumed Options and Assumed RSUs to become effective as part of a registration statement on Form S-8 or any successor or other appropriate forms, and, thereafter, Parent shall deliver to holders of Assumed Options and Assumed RSUs any applicable prospectus and shall maintain the effectiveness of such registration statement, including the current status of any related prospectus, for so long as the Assumed Options and Assumed RSUs remain outstanding.</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ARTICLE III</w:t>
        <w:br/>
        <w:br/>
      </w:r>
      <w:r>
        <w:rPr>
          <w:rFonts w:ascii="Times New Roman" w:hAnsi="Times New Roman"/>
          <w:color w:val="000000"/>
          <w:sz w:val="20"/>
          <w:u w:val="single"/>
        </w:rPr>
        <w:t>Representations and Warranties of the Company</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The Company represents and warrants to Parent and Merger Sub that, except as (A) set forth in the confidential disclosure letter delivered by the Company to Parent and Merger Sub concurrently with or prior to the execution of this Agreement (the “</w:t>
      </w:r>
      <w:r>
        <w:rPr>
          <w:rFonts w:ascii="Times New Roman" w:hAnsi="Times New Roman"/>
          <w:color w:val="000000"/>
          <w:sz w:val="20"/>
          <w:u w:val="single"/>
        </w:rPr>
        <w:t>Company Disclosure Letter</w:t>
      </w:r>
      <w:r>
        <w:rPr>
          <w:rFonts w:ascii="Times New Roman" w:hAnsi="Times New Roman"/>
          <w:color w:val="000000"/>
          <w:sz w:val="20"/>
        </w:rPr>
        <w:t>”) (it being understood that any information, item or matter set forth in one section or subsection of the Company Disclosure Letter shall be deemed disclosed with respect to, and shall be deemed to apply to and qualify, the section or subsection of this Agreement to which it corresponds in number and each other section or subsection of this Agreement (x) to which there is a cross-reference to such information, item or matter or (y) to the extent that it is reasonably apparent from the face of such disclosure that such information, item or matter also qualifies or applies to such other section or subsection) or (B) disclosed in any report, schedule, form, statement or other document (including exhibits) filed with, or furnished to, the SEC by the Company and publicly available from January 1, 2024 until the date that is one (1) Business Day prior to the execution of this Agreement (the “</w:t>
      </w:r>
      <w:r>
        <w:rPr>
          <w:rFonts w:ascii="Times New Roman" w:hAnsi="Times New Roman"/>
          <w:color w:val="000000"/>
          <w:sz w:val="20"/>
          <w:u w:val="single"/>
        </w:rPr>
        <w:t>Filed SEC Documents</w:t>
      </w:r>
      <w:r>
        <w:rPr>
          <w:rFonts w:ascii="Times New Roman" w:hAnsi="Times New Roman"/>
          <w:color w:val="000000"/>
          <w:sz w:val="20"/>
        </w:rPr>
        <w:t>”), other than any risk factor disclosure (other than any statements of fact or other statements that are not forward looking and cautionary in nature) in any such Filed SEC Document contained in the “Risk Factors” section thereof or other similarly cautionary, forward-looking or predictive statements in such Filed SEC Documents:</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3.01.  </w:t>
      </w:r>
      <w:r>
        <w:rPr>
          <w:rFonts w:ascii="Times New Roman" w:hAnsi="Times New Roman"/>
          <w:color w:val="000000"/>
          <w:sz w:val="20"/>
          <w:u w:val="single"/>
        </w:rPr>
        <w:t>Organization; Standing</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(a)  The Company is a corporation duly organized and validly existing under the laws of the State of Delaware and is in good standing with the Secretary of State of Delaware. The Company has all requisite corporate power and corporate authority necessary to carry on its business as it is now being conducted, except (other than with respect to the Company’s due organization and valid existence) as would not, individually or in the aggregate, have a Material Adverse Effect.  True and complete copies of the Company Charter Documents as in effect as of the date hereof are included in the Filed SEC Documents.  The Company Charter Documents are in full force and effect, and the Company is not in violation or breach of any of the provisions of the Company Charter Documents in any material respect.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(b)  Each of the Company’s Subsidiaries and each of the Affiliated Professional Entities is duly organized, validly existing and in good standing (where such concept is recognized under applicable Law) under the Laws of the jurisdiction of its organization, and has all requisite organizational power and authority necessary to carry on its business as it is now being conducted, except where the failure to be so organized, existing and in good standing or to have such power and authority would not, individually or in the aggregate, have a Material Adverse Effect.</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(c)  Each of the Company, its Subsidiaries and the Affiliated Professional Entities is duly licensed or qualified to do business in each jurisdiction in which the nature of the business conducted by it or the character or location of the properties and assets owned, leased or operated by it makes such licensing or qualification necessary, except where the failure to be so licensed or qualified would not, individually or in the aggregate, have a Material Adverse Effect.  Except as would not, individually or in the aggregate, have a Material Adverse Effect, (i) each of the certificates of incorporation, bylaws or comparable governing and organizational documents of the Company’s Subsidiaries and the Affiliated Professional Entities is in full force and effect and (ii) none of the Company’s Subsidiaries or the Affiliated Professional Entities are in violation or breach of any provision of the foregoing documents in any material respect.</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3.02.  </w:t>
      </w:r>
      <w:r>
        <w:rPr>
          <w:rFonts w:ascii="Times New Roman" w:hAnsi="Times New Roman"/>
          <w:color w:val="000000"/>
          <w:sz w:val="20"/>
          <w:u w:val="single"/>
        </w:rPr>
        <w:t>Capitalization</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(a)  The authorized shares of the Company consist of 1,000,000,000 shares of Company Common Stock and 100,000,000 shares of preferred stock, par value $0.0001 per share (“</w:t>
      </w:r>
      <w:r>
        <w:rPr>
          <w:rFonts w:ascii="Times New Roman" w:hAnsi="Times New Roman"/>
          <w:color w:val="000000"/>
          <w:sz w:val="20"/>
          <w:u w:val="single"/>
        </w:rPr>
        <w:t>Company Preferred Stock</w:t>
      </w:r>
      <w:r>
        <w:rPr>
          <w:rFonts w:ascii="Times New Roman" w:hAnsi="Times New Roman"/>
          <w:color w:val="000000"/>
          <w:sz w:val="20"/>
        </w:rPr>
        <w:t>”).  At the close of business on February 28, 2026 (the “</w:t>
      </w:r>
      <w:r>
        <w:rPr>
          <w:rFonts w:ascii="Times New Roman" w:hAnsi="Times New Roman"/>
          <w:color w:val="000000"/>
          <w:sz w:val="20"/>
          <w:u w:val="single"/>
        </w:rPr>
        <w:t>Capitalization Date</w:t>
      </w:r>
      <w:r>
        <w:rPr>
          <w:rFonts w:ascii="Times New Roman" w:hAnsi="Times New Roman"/>
          <w:color w:val="000000"/>
          <w:sz w:val="20"/>
        </w:rPr>
        <w:t>”), (i) 166,999,356 shares of Company Common Stock were issued and outstanding and (ii) no shares of Company Preferred Stock were issued or outstanding.  As of the Capitalization Date, (1) a total of 33,479,994 shares of Company Common Stock were reserved and available for issuance upon exercise of the Company Warrants (of which 20,722,494 shares of Company Common Stock were reserved for issuance under the Public Warrants (as defined in the Warrant Agreement) and 12,757,500 shares of Company Common Stock were reserved for issuance under the Private Warrants (as defined in the Warrant Agreement)), (2) 22,321,977 shares of Company Common Stock were reserved and remained available for issuance pursuant to the Equity Plans, of which amount (A) 5,507,246 shares of Company Common Stock were subject to outstanding Company RSUs and (B) 8,951,570 shares of Company Common Stock were subject to outstanding Company Stock Options, (3) 3,045,115 shares of Company Common Stock were reserved and remained available for purchase under the Company ESPP and (4) no shares of Company Common Stock could be acquired with accumulated payroll deductions under the Company ESPP (assuming that the market price of a share of Company Common Stock is equal to the Merger Consideration).  From the Capitalization Date through the date hereof, neither the Company nor any of its Subsidiaries has issued or sold any Company Securities (as defined below), other than the issuance or sale of Company Securities pursuant to the exercise of Company Warrants, settlement or exercise of Company RSUs or Company Stock Options, the operation of the Company ESPP or the forfeiture of, or withholding of Taxes with respect to, Company RSUs and Company Stock Options.  All outstanding shares of Company Common Stock have been duly authorized and validly issued and are fully paid, nonassessable and not subject to, and were not issued in violation of, any purchase option, call option, right of first refusal, preemptive rights, subscription rights or any similar rights.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(b)  Except as described in </w:t>
      </w:r>
      <w:r>
        <w:rPr>
          <w:rFonts w:ascii="Times New Roman" w:hAnsi="Times New Roman"/>
          <w:color w:val="000000"/>
          <w:sz w:val="20"/>
          <w:u w:val="single"/>
        </w:rPr>
        <w:t>Section 3.02(a)</w:t>
      </w:r>
      <w:r>
        <w:rPr>
          <w:rFonts w:ascii="Times New Roman" w:hAnsi="Times New Roman"/>
          <w:color w:val="000000"/>
          <w:sz w:val="20"/>
        </w:rPr>
        <w:t xml:space="preserve">, as of the Capitalization Date, there were (i) no issued, reserved for issuance or outstanding shares of capital stock of, or other equity or voting interests in, the Company, and no outstanding obligations to issue, deliver or sell or cause to be issued, delivered or sold any shares of capital stock of, or other equity or voting interests in, the Company, (ii) no outstanding securities of the Company convertible into or exchangeable for shares of capital stock of, or other equity or voting interests in, the Company, (iii) no outstanding options, warrants, calls, rights or other commitments or agreements to acquire from the Company, or that obligate the Company to issue, deliver or sell, or cause to be issued, delivered or sold, any capital stock of, or other equity or voting interests in, or any securities convertible into or exchangeable for shares of capital stock of, or other equity or voting interests in, the Company, (iv) no rights issued by or other obligations of the Company to grant, extend or enter into any subscription, warrant, right, convertible or exchangeable security or other similar agreement or commitment relating to any capital stock of, or other equity or voting interests in, the Company (the items in </w:t>
      </w:r>
      <w:r>
        <w:rPr>
          <w:rFonts w:ascii="Times New Roman" w:hAnsi="Times New Roman"/>
          <w:color w:val="000000"/>
          <w:sz w:val="20"/>
          <w:u w:val="single"/>
        </w:rPr>
        <w:t>clauses (i)</w:t>
      </w:r>
      <w:r>
        <w:rPr>
          <w:rFonts w:ascii="Times New Roman" w:hAnsi="Times New Roman"/>
          <w:color w:val="000000"/>
          <w:sz w:val="20"/>
        </w:rPr>
        <w:t xml:space="preserve">, </w:t>
      </w:r>
      <w:r>
        <w:rPr>
          <w:rFonts w:ascii="Times New Roman" w:hAnsi="Times New Roman"/>
          <w:color w:val="000000"/>
          <w:sz w:val="20"/>
          <w:u w:val="single"/>
        </w:rPr>
        <w:t>(ii)</w:t>
      </w:r>
      <w:r>
        <w:rPr>
          <w:rFonts w:ascii="Times New Roman" w:hAnsi="Times New Roman"/>
          <w:color w:val="000000"/>
          <w:sz w:val="20"/>
        </w:rPr>
        <w:t xml:space="preserve">, </w:t>
      </w:r>
      <w:r>
        <w:rPr>
          <w:rFonts w:ascii="Times New Roman" w:hAnsi="Times New Roman"/>
          <w:color w:val="000000"/>
          <w:sz w:val="20"/>
          <w:u w:val="single"/>
        </w:rPr>
        <w:t>(iii)</w:t>
      </w:r>
      <w:r>
        <w:rPr>
          <w:rFonts w:ascii="Times New Roman" w:hAnsi="Times New Roman"/>
          <w:color w:val="000000"/>
          <w:sz w:val="20"/>
        </w:rPr>
        <w:t xml:space="preserve"> and </w:t>
      </w:r>
      <w:r>
        <w:rPr>
          <w:rFonts w:ascii="Times New Roman" w:hAnsi="Times New Roman"/>
          <w:color w:val="000000"/>
          <w:sz w:val="20"/>
          <w:u w:val="single"/>
        </w:rPr>
        <w:t>(iv)</w:t>
      </w:r>
      <w:r>
        <w:rPr>
          <w:rFonts w:ascii="Times New Roman" w:hAnsi="Times New Roman"/>
          <w:color w:val="000000"/>
          <w:sz w:val="20"/>
        </w:rPr>
        <w:t xml:space="preserve"> being referred to collectively as “</w:t>
      </w:r>
      <w:r>
        <w:rPr>
          <w:rFonts w:ascii="Times New Roman" w:hAnsi="Times New Roman"/>
          <w:color w:val="000000"/>
          <w:sz w:val="20"/>
          <w:u w:val="single"/>
        </w:rPr>
        <w:t>Company Securities</w:t>
      </w:r>
      <w:r>
        <w:rPr>
          <w:rFonts w:ascii="Times New Roman" w:hAnsi="Times New Roman"/>
          <w:color w:val="000000"/>
          <w:sz w:val="20"/>
        </w:rPr>
        <w:t>”) and (v) no other obligations by the Company to make any payments based on the price or value of any Company Securities.  Other than the Company Warrants, the Equity Plans and the Company ESPP, there are no outstanding agreements of any kind which obligate the Company or any of its Subsidiaries to repurchase, redeem or otherwise acquire any Company Securities (other than pursuant to the forfeiture of, or withholding of Taxes with respect to, Company RSUs and Company Stock Options), or obligate the Company to grant, extend or enter into any such agreements relating to any Company Securities, including any agreements granting any preemptive rights, subscription rights, anti-dilutive rights, rights of first refusal or similar rights with respect to any Company Securities.  No direct or indirect Subsidiary of the Company owns any shares of Company Common Stock.  None of the Company or any Subsidiary of the Company is a party to any stockholders’ agreement, voting trust agreement, registration rights agreement or other similar agreement or understanding relating to any Company Securities or any other agreement relating to (A) the election, designation or nomination of any director of the Company or any of its Subsidiaries or (B) the disposition, voting or dividends with respect to any Company Securities.  Neither the Company nor any of its Subsidiaries nor any of the Affiliated Professional Entities has any outstanding bonds, debentures, notes or other indebtedness the holders of which have the right to vote (or which are convertible into or exercisable for securities having the right to vote) with the stockholders of the Company on any matter.</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(c)  As of the date of this Agreement, there are (i) no issued, reserved for issuance or outstanding shares of capital stock of, or other equity or voting interests in, any Subsidiary of the Company, and no outstanding obligations to issue, deliver or sell or cause to be issued, delivered or sold any equity or voting interests in any Subsidiary of the Company, (ii) no outstanding securities convertible into or exchangeable for shares of capital stock of, or other equity or voting interests in, any Subsidiary of the Company, (iii) no outstanding options, warrants, calls, rights or other commitments or agreements to acquire from any Subsidiary of the Company, or that obligate any Subsidiary of the Company to issue, deliver or sell, or cause to be issued, delivered or sold, any capital stock of, or other equity or voting interests in, or any securities convertible into or exchangeable for shares of capital stock of, or other equity or voting interests in, any Subsidiary of the Company, (iv) no rights issued by or other obligations to grant, extend or enter into any subscription, warrant, right, convertible or exchangeable security or other similar agreement or commitment relating to any capital stock of, or other equity or voting interests in, any Subsidiary of the Company (the items in </w:t>
      </w:r>
      <w:r>
        <w:rPr>
          <w:rFonts w:ascii="Times New Roman" w:hAnsi="Times New Roman"/>
          <w:color w:val="000000"/>
          <w:sz w:val="20"/>
          <w:u w:val="single"/>
        </w:rPr>
        <w:t>clauses (i)</w:t>
      </w:r>
      <w:r>
        <w:rPr>
          <w:rFonts w:ascii="Times New Roman" w:hAnsi="Times New Roman"/>
          <w:color w:val="000000"/>
          <w:sz w:val="20"/>
        </w:rPr>
        <w:t xml:space="preserve">, </w:t>
      </w:r>
      <w:r>
        <w:rPr>
          <w:rFonts w:ascii="Times New Roman" w:hAnsi="Times New Roman"/>
          <w:color w:val="000000"/>
          <w:sz w:val="20"/>
          <w:u w:val="single"/>
        </w:rPr>
        <w:t>(ii)</w:t>
      </w:r>
      <w:r>
        <w:rPr>
          <w:rFonts w:ascii="Times New Roman" w:hAnsi="Times New Roman"/>
          <w:color w:val="000000"/>
          <w:sz w:val="20"/>
        </w:rPr>
        <w:t xml:space="preserve">, </w:t>
      </w:r>
      <w:r>
        <w:rPr>
          <w:rFonts w:ascii="Times New Roman" w:hAnsi="Times New Roman"/>
          <w:color w:val="000000"/>
          <w:sz w:val="20"/>
          <w:u w:val="single"/>
        </w:rPr>
        <w:t>(iii)</w:t>
      </w:r>
      <w:r>
        <w:rPr>
          <w:rFonts w:ascii="Times New Roman" w:hAnsi="Times New Roman"/>
          <w:color w:val="000000"/>
          <w:sz w:val="20"/>
        </w:rPr>
        <w:t xml:space="preserve"> and </w:t>
      </w:r>
      <w:r>
        <w:rPr>
          <w:rFonts w:ascii="Times New Roman" w:hAnsi="Times New Roman"/>
          <w:color w:val="000000"/>
          <w:sz w:val="20"/>
          <w:u w:val="single"/>
        </w:rPr>
        <w:t>(iv)</w:t>
      </w:r>
      <w:r>
        <w:rPr>
          <w:rFonts w:ascii="Times New Roman" w:hAnsi="Times New Roman"/>
          <w:color w:val="000000"/>
          <w:sz w:val="20"/>
        </w:rPr>
        <w:t xml:space="preserve"> being referred to collectively as the “</w:t>
      </w:r>
      <w:r>
        <w:rPr>
          <w:rFonts w:ascii="Times New Roman" w:hAnsi="Times New Roman"/>
          <w:color w:val="000000"/>
          <w:sz w:val="20"/>
          <w:u w:val="single"/>
        </w:rPr>
        <w:t>Company Subsidiary Securities</w:t>
      </w:r>
      <w:r>
        <w:rPr>
          <w:rFonts w:ascii="Times New Roman" w:hAnsi="Times New Roman"/>
          <w:color w:val="000000"/>
          <w:sz w:val="20"/>
        </w:rPr>
        <w:t xml:space="preserve">”), in the case of each of </w:t>
      </w:r>
      <w:r>
        <w:rPr>
          <w:rFonts w:ascii="Times New Roman" w:hAnsi="Times New Roman"/>
          <w:color w:val="000000"/>
          <w:sz w:val="20"/>
          <w:u w:val="single"/>
        </w:rPr>
        <w:t>clauses (i)</w:t>
      </w:r>
      <w:r>
        <w:rPr>
          <w:rFonts w:ascii="Times New Roman" w:hAnsi="Times New Roman"/>
          <w:color w:val="000000"/>
          <w:sz w:val="20"/>
        </w:rPr>
        <w:t xml:space="preserve">, </w:t>
      </w:r>
      <w:r>
        <w:rPr>
          <w:rFonts w:ascii="Times New Roman" w:hAnsi="Times New Roman"/>
          <w:color w:val="000000"/>
          <w:sz w:val="20"/>
          <w:u w:val="single"/>
        </w:rPr>
        <w:t>(ii)</w:t>
      </w:r>
      <w:r>
        <w:rPr>
          <w:rFonts w:ascii="Times New Roman" w:hAnsi="Times New Roman"/>
          <w:color w:val="000000"/>
          <w:sz w:val="20"/>
        </w:rPr>
        <w:t xml:space="preserve">, </w:t>
      </w:r>
      <w:r>
        <w:rPr>
          <w:rFonts w:ascii="Times New Roman" w:hAnsi="Times New Roman"/>
          <w:color w:val="000000"/>
          <w:sz w:val="20"/>
          <w:u w:val="single"/>
        </w:rPr>
        <w:t>(iii)</w:t>
      </w:r>
      <w:r>
        <w:rPr>
          <w:rFonts w:ascii="Times New Roman" w:hAnsi="Times New Roman"/>
          <w:color w:val="000000"/>
          <w:sz w:val="20"/>
        </w:rPr>
        <w:t xml:space="preserve"> and </w:t>
      </w:r>
      <w:r>
        <w:rPr>
          <w:rFonts w:ascii="Times New Roman" w:hAnsi="Times New Roman"/>
          <w:color w:val="000000"/>
          <w:sz w:val="20"/>
          <w:u w:val="single"/>
        </w:rPr>
        <w:t>(iv)</w:t>
      </w:r>
      <w:r>
        <w:rPr>
          <w:rFonts w:ascii="Times New Roman" w:hAnsi="Times New Roman"/>
          <w:color w:val="000000"/>
          <w:sz w:val="20"/>
        </w:rPr>
        <w:t>, that are not owned by the Company or a wholly owned Subsidiary of the Company and (v) no other obligations by the Company or any of its Subsidiaries to make any payments based on the price or value of any Company Subsidiary Securities (in each case, other than any such obligations solely among the Company and its wholly owned Subsidiaries).  There are no outstanding agreements or Contracts of any kind which obligate the Company or any of its Subsidiaries to repurchase, redeem or otherwise acquire any Company Subsidiary Securities, or obligate the Company or any of its Subsidiaries to grant, extend or enter into any such agreements or Contracts relating to any Company Subsidiary Securities, including any agreements granting any preemptive rights, subscription rights, anti-dilutive rights, rights of first refusal or similar rights with respect to any Company Subsidiary Securities (other than any such obligations solely among the Company and its wholly owned Subsidiaries).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13</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(d)  The Company and its Subsidiaries own, directly or indirectly, all of the issued and outstanding equity securities of each Subsidiary of the Company, free and clear of all Encumbrances (except for transfer restrictions arising under applicable securities Laws), and, except as would not, individually or in the aggregate, reasonably be expected to be material to the Company and its Subsidiaries, taken as a whole, all such outstanding equity securities have been duly authorized and validly issued and are fully paid, nonassessable and not subject to, or issued in violation of, any purchase option, call option, right of first refusal, preemptive rights, subscription rights or any similar rights.</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(e)  All of the issued and outstanding equity securities of each Affiliated Professional Entity are wholly owned by Dr. Nikole Benders-Hadi, free and clear of all Encumbrances (except for Encumbrances arising under the Corporate Practice Documents and transfer restrictions arising under applicable securities Laws), and, except as would not, individually or in the aggregate, reasonably be expected to be material to Company and its Subsidiaries, taken as a whole, all such outstanding equity securities have been duly authorized and validly issued and are fully paid, nonassessable and not subject to, or issued in violation of, any purchase option, call option, right of first refusal, preemptive rights, subscription rights or any similar rights, except as set forth in each Securities Transfer Restriction Agreement.  Each Affiliated Professional Entity is bound by a Securities Transfer Restriction Agreement.</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3.03.  </w:t>
      </w:r>
      <w:r>
        <w:rPr>
          <w:rFonts w:ascii="Times New Roman" w:hAnsi="Times New Roman"/>
          <w:color w:val="000000"/>
          <w:sz w:val="20"/>
          <w:u w:val="single"/>
        </w:rPr>
        <w:t>Authority; Noncontravention</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(a)  The Company has all necessary corporate power and corporate authority to execute and deliver this Agreement and to perform its obligations hereunder and, assuming the representations and warranties set forth in </w:t>
      </w:r>
      <w:r>
        <w:rPr>
          <w:rFonts w:ascii="Times New Roman" w:hAnsi="Times New Roman"/>
          <w:color w:val="000000"/>
          <w:sz w:val="20"/>
          <w:u w:val="single"/>
        </w:rPr>
        <w:t>Section 4.10</w:t>
      </w:r>
      <w:r>
        <w:rPr>
          <w:rFonts w:ascii="Times New Roman" w:hAnsi="Times New Roman"/>
          <w:color w:val="000000"/>
          <w:sz w:val="20"/>
        </w:rPr>
        <w:t xml:space="preserve"> are true and correct and subject to the receipt of the Company Stockholder Approval, to consummate the Transactions.  The execution, delivery and performance by the Company of this Agreement and, assuming the representations and warranties set forth in </w:t>
      </w:r>
      <w:r>
        <w:rPr>
          <w:rFonts w:ascii="Times New Roman" w:hAnsi="Times New Roman"/>
          <w:color w:val="000000"/>
          <w:sz w:val="20"/>
          <w:u w:val="single"/>
        </w:rPr>
        <w:t>Section 4.10</w:t>
      </w:r>
      <w:r>
        <w:rPr>
          <w:rFonts w:ascii="Times New Roman" w:hAnsi="Times New Roman"/>
          <w:color w:val="000000"/>
          <w:sz w:val="20"/>
        </w:rPr>
        <w:t xml:space="preserve"> are true and correct, the consummation by it of the Transactions, have been duly authorized by its Board of Directors and, except for obtaining the Company Stockholder Approval and filing the Certificate of Merger with the Secretary of State of Delaware pursuant to the DGCL, no other corporate action on the part of the Company is necessary to authorize the execution, delivery and performance by the Company of this Agreement and the consummation by it of the Transactions.  This Agreement has been duly executed and delivered by the Company and, assuming due authorization, execution and delivery hereof by the other parties hereto, constitutes a legal, valid and binding obligation of the Company, enforceable against the Company in accordance with its terms, except that such enforceability (i) may be limited by bankruptcy, insolvency, fraudulent transfer, reorganization, moratorium and other similar Laws of general application affecting or relating to the enforcement of creditors’ rights generally and (ii) is subject to general principles of equity, whether considered in a proceeding at law or in equity (</w:t>
      </w:r>
      <w:r>
        <w:rPr>
          <w:rFonts w:ascii="Times New Roman" w:hAnsi="Times New Roman"/>
          <w:color w:val="000000"/>
          <w:sz w:val="20"/>
          <w:u w:val="single"/>
        </w:rPr>
        <w:t>clauses (i)</w:t>
      </w:r>
      <w:r>
        <w:rPr>
          <w:rFonts w:ascii="Times New Roman" w:hAnsi="Times New Roman"/>
          <w:color w:val="000000"/>
          <w:sz w:val="20"/>
        </w:rPr>
        <w:t xml:space="preserve"> and </w:t>
      </w:r>
      <w:r>
        <w:rPr>
          <w:rFonts w:ascii="Times New Roman" w:hAnsi="Times New Roman"/>
          <w:color w:val="000000"/>
          <w:sz w:val="20"/>
          <w:u w:val="single"/>
        </w:rPr>
        <w:t>(ii)</w:t>
      </w:r>
      <w:r>
        <w:rPr>
          <w:rFonts w:ascii="Times New Roman" w:hAnsi="Times New Roman"/>
          <w:color w:val="000000"/>
          <w:sz w:val="20"/>
        </w:rPr>
        <w:t>, collectively, the “</w:t>
      </w:r>
      <w:r>
        <w:rPr>
          <w:rFonts w:ascii="Times New Roman" w:hAnsi="Times New Roman"/>
          <w:color w:val="000000"/>
          <w:sz w:val="20"/>
          <w:u w:val="single"/>
        </w:rPr>
        <w:t>Bankruptcy and Equity Exception</w:t>
      </w:r>
      <w:r>
        <w:rPr>
          <w:rFonts w:ascii="Times New Roman" w:hAnsi="Times New Roman"/>
          <w:color w:val="000000"/>
          <w:sz w:val="20"/>
        </w:rPr>
        <w: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14</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(b)  The Board of Directors of the Company, at a meeting duly called and held, unanimously (i) determined that it is advisable and fair to, and in the best interests of, the Company and the stockholders of the Company, and declared it advisable, that the Company enter into this Agreement and consummate the Transactions, (ii) adopted resolutions approving and declaring the advisability of this Agreement and the consummation of the Transactions, including the Merger, (iii) adopted resolutions making the Company Board Recommendation, which resolutions have not been subsequently rescinded, modified or withdrawn and (iv) directed that this Agreement and the Transactions be submitted to the stockholders of the Company entitled to vote for adoption.</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(c)  Assuming the representations and warranties set forth in </w:t>
      </w:r>
      <w:r>
        <w:rPr>
          <w:rFonts w:ascii="Times New Roman" w:hAnsi="Times New Roman"/>
          <w:color w:val="000000"/>
          <w:sz w:val="20"/>
          <w:u w:val="single"/>
        </w:rPr>
        <w:t>Section 4.10</w:t>
      </w:r>
      <w:r>
        <w:rPr>
          <w:rFonts w:ascii="Times New Roman" w:hAnsi="Times New Roman"/>
          <w:color w:val="000000"/>
          <w:sz w:val="20"/>
        </w:rPr>
        <w:t xml:space="preserve"> are true and correct, the affirmative vote (in person or by proxy) of the holders of a majority of the outstanding shares of Company Common Stock entitled to vote thereon (the “</w:t>
      </w:r>
      <w:r>
        <w:rPr>
          <w:rFonts w:ascii="Times New Roman" w:hAnsi="Times New Roman"/>
          <w:color w:val="000000"/>
          <w:sz w:val="20"/>
          <w:u w:val="single"/>
        </w:rPr>
        <w:t>Company Stockholder Approval</w:t>
      </w:r>
      <w:r>
        <w:rPr>
          <w:rFonts w:ascii="Times New Roman" w:hAnsi="Times New Roman"/>
          <w:color w:val="000000"/>
          <w:sz w:val="20"/>
        </w:rPr>
        <w:t>”), at the Company Stockholders’ Meeting or any adjournment or postponement thereof, are the only votes of the holders of any class or series of shares of capital stock of the Company necessary to adopt this Agreement and approve the Merger.</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(d)  Neither the execution and delivery of this Agreement by the Company, nor the consummation by the Company of the Transactions, nor performance or compliance by the Company with any of the terms or provisions hereof, will (i) subject to the receipt of the Company Stockholder Approval, conflict with or violate any provision of the Company Charter Documents, any provision of any organizational documents of any Subsidiary of the Company or any provision of any organizational documents of any Affiliated Professional Entity or (ii) assuming that the consents, approvals, filings, licenses, permits, authorizations, declarations, notifications and registrations referred to in </w:t>
      </w:r>
      <w:r>
        <w:rPr>
          <w:rFonts w:ascii="Times New Roman" w:hAnsi="Times New Roman"/>
          <w:color w:val="000000"/>
          <w:sz w:val="20"/>
          <w:u w:val="single"/>
        </w:rPr>
        <w:t>Section 3.04</w:t>
      </w:r>
      <w:r>
        <w:rPr>
          <w:rFonts w:ascii="Times New Roman" w:hAnsi="Times New Roman"/>
          <w:color w:val="000000"/>
          <w:sz w:val="20"/>
        </w:rPr>
        <w:t xml:space="preserve"> and the Company Stockholder Approval are obtained prior to the Effective Time and the filings referred to in </w:t>
      </w:r>
      <w:r>
        <w:rPr>
          <w:rFonts w:ascii="Times New Roman" w:hAnsi="Times New Roman"/>
          <w:color w:val="000000"/>
          <w:sz w:val="20"/>
          <w:u w:val="single"/>
        </w:rPr>
        <w:t>Section 3.04</w:t>
      </w:r>
      <w:r>
        <w:rPr>
          <w:rFonts w:ascii="Times New Roman" w:hAnsi="Times New Roman"/>
          <w:color w:val="000000"/>
          <w:sz w:val="20"/>
        </w:rPr>
        <w:t xml:space="preserve"> are made and any waiting periods thereunder have terminated or expired prior to the Effective Time, (x) violate any Law or Judgment applicable to the Company or any of its Subsidiaries or any Affiliated Professional Entity, (y) violate or constitute a default under or result in a breach of (with or without notice or lapse of time, or both) any of the terms or provisions of, or result in a payment obligation or loss of a benefit under, or give rise to any right of consent, approval, termination, cancellation, amendment or acceleration of or under, any Material Contract which the Company or any of its Subsidiaries or any of the Affiliated Professional Entities is party (or otherwise bound by) or any Permit held by the Company or any of its Subsidiaries or any of the Affiliated Professional Entities or (z) result in the creation of any Encumbrance (other than a Permitted Encumbrance) on any properties or assets of the Company, any of its Subsidiaries or any of the Affiliated Professional Entities, except, in the case of </w:t>
      </w:r>
      <w:r>
        <w:rPr>
          <w:rFonts w:ascii="Times New Roman" w:hAnsi="Times New Roman"/>
          <w:color w:val="000000"/>
          <w:sz w:val="20"/>
          <w:u w:val="single"/>
        </w:rPr>
        <w:t>clause (ii)</w:t>
      </w:r>
      <w:r>
        <w:rPr>
          <w:rFonts w:ascii="Times New Roman" w:hAnsi="Times New Roman"/>
          <w:color w:val="000000"/>
          <w:sz w:val="20"/>
        </w:rPr>
        <w:t>, as would not, individually or in the aggregate, have a Material Adverse Effect.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15</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3.04.  </w:t>
      </w:r>
      <w:r>
        <w:rPr>
          <w:rFonts w:ascii="Times New Roman" w:hAnsi="Times New Roman"/>
          <w:color w:val="000000"/>
          <w:sz w:val="20"/>
          <w:u w:val="single"/>
        </w:rPr>
        <w:t>Governmental Approvals</w:t>
      </w:r>
      <w:r>
        <w:rPr>
          <w:rFonts w:ascii="Times New Roman" w:hAnsi="Times New Roman"/>
          <w:color w:val="000000"/>
          <w:sz w:val="20"/>
        </w:rPr>
        <w:t>.  Except for (a) compliance with the applicable requirements of the Securities Exchange Act of 1934, as amended, and the rules and regulations promulgated thereunder (the “</w:t>
      </w:r>
      <w:r>
        <w:rPr>
          <w:rFonts w:ascii="Times New Roman" w:hAnsi="Times New Roman"/>
          <w:color w:val="000000"/>
          <w:sz w:val="20"/>
          <w:u w:val="single"/>
        </w:rPr>
        <w:t>Exchange Act</w:t>
      </w:r>
      <w:r>
        <w:rPr>
          <w:rFonts w:ascii="Times New Roman" w:hAnsi="Times New Roman"/>
          <w:color w:val="000000"/>
          <w:sz w:val="20"/>
        </w:rPr>
        <w:t>”), including the filing with the Securities and Exchange Commission (the “</w:t>
      </w:r>
      <w:r>
        <w:rPr>
          <w:rFonts w:ascii="Times New Roman" w:hAnsi="Times New Roman"/>
          <w:color w:val="000000"/>
          <w:sz w:val="20"/>
          <w:u w:val="single"/>
        </w:rPr>
        <w:t>SEC</w:t>
      </w:r>
      <w:r>
        <w:rPr>
          <w:rFonts w:ascii="Times New Roman" w:hAnsi="Times New Roman"/>
          <w:color w:val="000000"/>
          <w:sz w:val="20"/>
        </w:rPr>
        <w:t>”) of a proxy statement relating to the Company Stockholders’ Meeting (as amended or supplemented from time to time, the “</w:t>
      </w:r>
      <w:r>
        <w:rPr>
          <w:rFonts w:ascii="Times New Roman" w:hAnsi="Times New Roman"/>
          <w:color w:val="000000"/>
          <w:sz w:val="20"/>
          <w:u w:val="single"/>
        </w:rPr>
        <w:t>Proxy Statement</w:t>
      </w:r>
      <w:r>
        <w:rPr>
          <w:rFonts w:ascii="Times New Roman" w:hAnsi="Times New Roman"/>
          <w:color w:val="000000"/>
          <w:sz w:val="20"/>
        </w:rPr>
        <w:t>”), (b) compliance with the rules and regulations of the NASDAQ Global Select Market (“</w:t>
      </w:r>
      <w:r>
        <w:rPr>
          <w:rFonts w:ascii="Times New Roman" w:hAnsi="Times New Roman"/>
          <w:color w:val="000000"/>
          <w:sz w:val="20"/>
          <w:u w:val="single"/>
        </w:rPr>
        <w:t>NASDAQ</w:t>
      </w:r>
      <w:r>
        <w:rPr>
          <w:rFonts w:ascii="Times New Roman" w:hAnsi="Times New Roman"/>
          <w:color w:val="000000"/>
          <w:sz w:val="20"/>
        </w:rPr>
        <w:t>”), (c) the filing of the Certificate of Merger with the Secretary of State of Delaware pursuant to the DGCL, (d) filings required under, and compliance with other applicable requirements of, the HSR Act or any other Antitrust Laws, (e) the consents, approvals, orders, authorizations, filings, notifications, declarations or registrations set forth in Section 3.04(e) of the Company Disclosure Letter and (f) compliance with any applicable state securities or blue sky Laws, no consent, approval, license, permit or authorization of, or filing, declaration, notification or registration with, any Governmental Authority is necessary for the execution and delivery of this Agreement by the Company, the performance by the Company of its obligations hereunder and the consummation by the Company of the Transactions, other than such other consents, approvals, licenses, permits, authorizations, filings, declarations, notifications or registrations that, if not obtained, made or given, would not, individually or in the aggregate, have a Material Adverse Effect.</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3.05.  </w:t>
      </w:r>
      <w:r>
        <w:rPr>
          <w:rFonts w:ascii="Times New Roman" w:hAnsi="Times New Roman"/>
          <w:color w:val="000000"/>
          <w:sz w:val="20"/>
          <w:u w:val="single"/>
        </w:rPr>
        <w:t>Company SEC Documents; Undisclosed Liabilities</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(a)  The Company has timely filed with or furnished the SEC all reports, schedules, forms, statements, registration statements, prospectuses and other documents required to be filed by the Company with the SEC pursuant to the Securities Act of 1933 (the “</w:t>
      </w:r>
      <w:r>
        <w:rPr>
          <w:rFonts w:ascii="Times New Roman" w:hAnsi="Times New Roman"/>
          <w:color w:val="000000"/>
          <w:sz w:val="20"/>
          <w:u w:val="single"/>
        </w:rPr>
        <w:t>Securities Act</w:t>
      </w:r>
      <w:r>
        <w:rPr>
          <w:rFonts w:ascii="Times New Roman" w:hAnsi="Times New Roman"/>
          <w:color w:val="000000"/>
          <w:sz w:val="20"/>
        </w:rPr>
        <w:t>”) or the Exchange Act, in each case, since January 1, 2024, together with all certifications required pursuant to the Sarbanes-Oxley Act (such documents and any other documents filed or furnished by the Company with the SEC, as they have been supplemented, modified or amended since the time of filing, collectively, the “</w:t>
      </w:r>
      <w:r>
        <w:rPr>
          <w:rFonts w:ascii="Times New Roman" w:hAnsi="Times New Roman"/>
          <w:color w:val="000000"/>
          <w:sz w:val="20"/>
          <w:u w:val="single"/>
        </w:rPr>
        <w:t>Company SEC Documents</w:t>
      </w:r>
      <w:r>
        <w:rPr>
          <w:rFonts w:ascii="Times New Roman" w:hAnsi="Times New Roman"/>
          <w:color w:val="000000"/>
          <w:sz w:val="20"/>
        </w:rPr>
        <w:t>”).  No Subsidiary of the Company and no Affiliated Professional Entity are required to make any filings with the SEC.  As of their respective effective dates (in the case of Company SEC Documents that are registration statements filed pursuant to the requirements of the Securities Act) and as of their respective SEC filing dates or, if amended prior to the date hereof, the date of the filing of such amendment, with respect to the portions that are amended (in the case of all other Company SEC Documents), the Company SEC Documents complied as to form in all material respects with the requirements of the Securities Act, the Exchange Act or the Sarbanes-Oxley Act, as the case may be, and the rules and regulations of the SEC promulgated thereunder, applicable to such Company SEC Documents, and none of the Company SEC Documents as of such respective dates (or, if amended prior to the date hereof, the date of the filing of such amendment, with respect to the disclosures that are amended) contained any untrue statement of a material fact or omitted to state a material fact necessary in order to make the statements therein, in light of the circumstances under which they were made, not misleading.  Since January 1, 2024, no executive officer of the Company has failed to make the certifications required by him or her under Section 302 or 906 of the Sarbanes-Oxley Act, with respect to any Company SEC Document, except as disclosed in certifications filed with the Company SEC Documents.  As of the date of this Agreement, there are no material outstanding or unresolved comments from the SEC with respect to the Company SEC Documents.  Since January 1, 2024, there has been no material correspondence between the SEC and the Company relating to the Company SEC Documents that is not set forth in the Company SEC Documents or publicly available on the SEC’s website.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16</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(b)  The consolidated financial statements of the Company (including all related notes or schedules) included or incorporated by reference in the Company SEC Documents, as of their respective dates of filing with the SEC (or, if such Company SEC Documents were amended prior to the date hereof, the date of the filing of such amendment, with respect to the consolidated financial statements that are amended or restated therein), complied as to form in all material respects with the published rules and regulations of the SEC with respect thereto, have been prepared in all material respects in accordance with GAAP (except, in the case of unaudited quarterly statements, as permitted by Form 10-Q of the SEC or other rules and regulations of the SEC) applied on a consistent basis during the periods involved (except (i) as may be indicated in the notes thereto or (ii) as permitted by Regulation S-X) and fairly present in all material respects the consolidated financial position of the Company and its consolidated Subsidiaries as of the dates thereof and the consolidated statements of operations and consolidated statements of cash flows for the periods shown (subject, in the case of unaudited quarterly financial statements, to normal year</w:t>
        <w:noBreakHyphen/>
        <w:t>end adjustments that are not material in amount or nature).</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(c)  Neither the Company nor any of its consolidated Subsidiaries nor any of the consolidated Affiliated Professional Entities has any liabilities (whether accrued, absolute, contingent or otherwise) which would be required to be reflected or reserved against on a balance sheet prepared in accordance with GAAP, except liabilities (i) reflected or reserved against in the consolidated balance sheet (or the notes thereto) of the Company as of September 30, 2025 (the “</w:t>
      </w:r>
      <w:r>
        <w:rPr>
          <w:rFonts w:ascii="Times New Roman" w:hAnsi="Times New Roman"/>
          <w:color w:val="000000"/>
          <w:sz w:val="20"/>
          <w:u w:val="single"/>
        </w:rPr>
        <w:t>Balance Sheet Date</w:t>
      </w:r>
      <w:r>
        <w:rPr>
          <w:rFonts w:ascii="Times New Roman" w:hAnsi="Times New Roman"/>
          <w:color w:val="000000"/>
          <w:sz w:val="20"/>
        </w:rPr>
        <w:t>”) included in the Filed SEC Documents, (ii) incurred after the Balance Sheet Date in the ordinary course of business, (iii) as contemplated by this Agreement or otherwise incurred in connection with the Transactions or (iv) as would not, individually or in the aggregate, have a Material Adverse Effect.  There are no material off-balance sheet arrangements of any type pursuant to any off-balance sheet arrangement required to be disclosed or described pursuant to Regulation S-K (or similar Contracts where the purpose is to avoid disclosure of any material transaction involving the Company or any of its Subsidiaries) that have not been so disclosed or described in the Company SEC Documents.</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(d)  The Company has established and maintains disclosure controls and procedures and a system of internal controls over financial reporting (as such terms are defined in paragraphs (e) and (f), respectively, of Rule 13a-15 under the Exchange Act) as required by Rule 13a-15 under the Exchange Act.  Such controls, procedures and systems are designed to provide reasonable assurances (i) that all material information required to be disclosed by the Company in the Company SEC Documents is recorded and made known on a timely basis to the individuals responsible for the preparation of the Company SEC Documents, (ii) that transactions are recorded as necessary to permit preparation of financial statements in conformity with GAAP, (iii) that transactions are executed only in accordance with the authorizations of management and (iv) regarding prevention or timely detection of the unauthorized acquisition, use or disposition of the Company’s assets that could have a material effect on the Company’s financial statements.  The Company’s management has completed an assessment of the effectiveness of the Company’s internal control over financial reporting in compliance with the requirements of Section 404 of the Sarbanes-Oxley Act for the year ended December 31, 2025, and such assessment concluded that such controls were effective.  Since January 1, 2024, neither the Company nor, to the Company’s Knowledge, the Company’s independent registered public accounting firm has identified or been made aware of (x) any “significant deficiencies” or “material weaknesses” (as defined by the Public Company Accounting Oversight Board) in the design or operation of the Company’s internal controls over financial reporting which would reasonably be expected to adversely affect in any material respect the Company’s ability to record, process, summarize and report financial data, in each case which has not been subsequently remediated, or (y) any fraud that involved management or other employees of the Company or any of its Subsidiaries that have a significant role in the Company’s internal control over financial reporting.</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17</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(e)  The Proxy Statement (including any amendment or supplement thereto), at the time first sent or given to the stockholders of the Company and at the time of the Company Stockholders’ Meeting, will comply as to form in all material respects with the requirements of the Exchange Act and will not contain any untrue statement of a material fact or omit to state any material fact required to be stated therein or necessary in order to make the statements therein, in light of the circumstances under which they are made, not misleading.  Notwithstanding the foregoing, the Company makes no representation or warranty with respect to statements made or incorporated by reference therein based on information supplied by or on behalf of Parent, Merger Sub or any Representatives thereof in writing expressly for inclusion or incorporation by reference in the Proxy Statement.</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3.06.  </w:t>
      </w:r>
      <w:r>
        <w:rPr>
          <w:rFonts w:ascii="Times New Roman" w:hAnsi="Times New Roman"/>
          <w:color w:val="000000"/>
          <w:sz w:val="20"/>
          <w:u w:val="single"/>
        </w:rPr>
        <w:t>Absence of Certain Changes</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(a)  From the Balance Sheet Date through the date of this Agreement, except for the execution and performance of this Agreement and the discussions, negotiations and transactions related thereto and to any transaction of the type contemplated by this Agreement, the business of the Company and its Subsidiaries and the Affiliated Professional Entities has been carried on and conducted in all material respects in the ordinary course of business.</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(b)  From the Balance Sheet Date through the date of this Agreement, there has not been any Material Adverse Effect.</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(c)  From the Balance Sheet Date through the date of this Agreement, neither the Company nor any of its Subsidiaries nor any of the Affiliated Professional Entities has taken any action that, if taken after the date of this Agreement without the consent of Parent, would constitute a breach of </w:t>
      </w:r>
      <w:r>
        <w:rPr>
          <w:rFonts w:ascii="Times New Roman" w:hAnsi="Times New Roman"/>
          <w:color w:val="000000"/>
          <w:sz w:val="20"/>
          <w:u w:val="single"/>
        </w:rPr>
        <w:t>Section 5.01(b)(ii)</w:t>
      </w:r>
      <w:r>
        <w:rPr>
          <w:rFonts w:ascii="Times New Roman" w:hAnsi="Times New Roman"/>
          <w:color w:val="000000"/>
          <w:sz w:val="20"/>
        </w:rPr>
        <w:t xml:space="preserve">, </w:t>
      </w:r>
      <w:r>
        <w:rPr>
          <w:rFonts w:ascii="Times New Roman" w:hAnsi="Times New Roman"/>
          <w:color w:val="000000"/>
          <w:sz w:val="20"/>
          <w:u w:val="single"/>
        </w:rPr>
        <w:t>Section 5.01(b)(iii)</w:t>
      </w:r>
      <w:r>
        <w:rPr>
          <w:rFonts w:ascii="Times New Roman" w:hAnsi="Times New Roman"/>
          <w:color w:val="000000"/>
          <w:sz w:val="20"/>
        </w:rPr>
        <w:t xml:space="preserve">, </w:t>
      </w:r>
      <w:r>
        <w:rPr>
          <w:rFonts w:ascii="Times New Roman" w:hAnsi="Times New Roman"/>
          <w:color w:val="000000"/>
          <w:sz w:val="20"/>
          <w:u w:val="single"/>
        </w:rPr>
        <w:t>Section 5.01(b)(iv)</w:t>
      </w:r>
      <w:r>
        <w:rPr>
          <w:rFonts w:ascii="Times New Roman" w:hAnsi="Times New Roman"/>
          <w:color w:val="000000"/>
          <w:sz w:val="20"/>
        </w:rPr>
        <w:t xml:space="preserve">, </w:t>
      </w:r>
      <w:r>
        <w:rPr>
          <w:rFonts w:ascii="Times New Roman" w:hAnsi="Times New Roman"/>
          <w:color w:val="000000"/>
          <w:sz w:val="20"/>
          <w:u w:val="single"/>
        </w:rPr>
        <w:t>Section 5.01(b)(v)</w:t>
      </w:r>
      <w:r>
        <w:rPr>
          <w:rFonts w:ascii="Times New Roman" w:hAnsi="Times New Roman"/>
          <w:color w:val="000000"/>
          <w:sz w:val="20"/>
        </w:rPr>
        <w:t xml:space="preserve">, </w:t>
      </w:r>
      <w:r>
        <w:rPr>
          <w:rFonts w:ascii="Times New Roman" w:hAnsi="Times New Roman"/>
          <w:color w:val="000000"/>
          <w:sz w:val="20"/>
          <w:u w:val="single"/>
        </w:rPr>
        <w:t>Section 5.01(b)(vi)</w:t>
      </w:r>
      <w:r>
        <w:rPr>
          <w:rFonts w:ascii="Times New Roman" w:hAnsi="Times New Roman"/>
          <w:color w:val="000000"/>
          <w:sz w:val="20"/>
        </w:rPr>
        <w:t xml:space="preserve">, </w:t>
      </w:r>
      <w:r>
        <w:rPr>
          <w:rFonts w:ascii="Times New Roman" w:hAnsi="Times New Roman"/>
          <w:color w:val="000000"/>
          <w:sz w:val="20"/>
          <w:u w:val="single"/>
        </w:rPr>
        <w:t>Section 5.01(b)(xiii)</w:t>
      </w:r>
      <w:r>
        <w:rPr>
          <w:rFonts w:ascii="Times New Roman" w:hAnsi="Times New Roman"/>
          <w:color w:val="000000"/>
          <w:sz w:val="20"/>
        </w:rPr>
        <w:t xml:space="preserve">, </w:t>
      </w:r>
      <w:r>
        <w:rPr>
          <w:rFonts w:ascii="Times New Roman" w:hAnsi="Times New Roman"/>
          <w:color w:val="000000"/>
          <w:sz w:val="20"/>
          <w:u w:val="single"/>
        </w:rPr>
        <w:t>Section 5.01(b)(xiv)</w:t>
      </w:r>
      <w:r>
        <w:rPr>
          <w:rFonts w:ascii="Times New Roman" w:hAnsi="Times New Roman"/>
          <w:color w:val="000000"/>
          <w:sz w:val="20"/>
        </w:rPr>
        <w:t xml:space="preserve">, </w:t>
      </w:r>
      <w:r>
        <w:rPr>
          <w:rFonts w:ascii="Times New Roman" w:hAnsi="Times New Roman"/>
          <w:color w:val="000000"/>
          <w:sz w:val="20"/>
          <w:u w:val="single"/>
        </w:rPr>
        <w:t>Section 5.01(b)(xv)</w:t>
      </w:r>
      <w:r>
        <w:rPr>
          <w:rFonts w:ascii="Times New Roman" w:hAnsi="Times New Roman"/>
          <w:color w:val="000000"/>
          <w:sz w:val="20"/>
        </w:rPr>
        <w:t xml:space="preserve"> or </w:t>
      </w:r>
      <w:r>
        <w:rPr>
          <w:rFonts w:ascii="Times New Roman" w:hAnsi="Times New Roman"/>
          <w:color w:val="000000"/>
          <w:sz w:val="20"/>
          <w:u w:val="single"/>
        </w:rPr>
        <w:t>Section 5.01(b)(xxii)</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3.07.  </w:t>
      </w:r>
      <w:r>
        <w:rPr>
          <w:rFonts w:ascii="Times New Roman" w:hAnsi="Times New Roman"/>
          <w:color w:val="000000"/>
          <w:sz w:val="20"/>
          <w:u w:val="single"/>
        </w:rPr>
        <w:t>Legal Proceedings</w:t>
      </w:r>
      <w:r>
        <w:rPr>
          <w:rFonts w:ascii="Times New Roman" w:hAnsi="Times New Roman"/>
          <w:color w:val="000000"/>
          <w:sz w:val="20"/>
        </w:rPr>
        <w:t>.  Except as would not, individually or in the aggregate, reasonably be expected to be material to the Company and its Subsidiaries and the Affiliated Professional Entities, taken as a whole, (a) there is no, and since January 1, 2024, there has not been any, pending or, to the Knowledge of the Company, threatened legal, civil, criminal or administrative proceeding, suit, investigation, audit, claim, hearing, arbitration or other action by or before any Governmental Authority (an “</w:t>
      </w:r>
      <w:r>
        <w:rPr>
          <w:rFonts w:ascii="Times New Roman" w:hAnsi="Times New Roman"/>
          <w:color w:val="000000"/>
          <w:sz w:val="20"/>
          <w:u w:val="single"/>
        </w:rPr>
        <w:t>Action</w:t>
      </w:r>
      <w:r>
        <w:rPr>
          <w:rFonts w:ascii="Times New Roman" w:hAnsi="Times New Roman"/>
          <w:color w:val="000000"/>
          <w:sz w:val="20"/>
        </w:rPr>
        <w:t>”), in each case by or against the Company or any of its Subsidiaries or any of the Affiliated Professional Entities or involving the Company or any of its Subsidiaries or any of the Affiliated Professional Entities and (b) there is no, and since January 1, 2024, there has not been any, outstanding order, judgment, injunction, ruling, award, writ, settlement, grant, consent, decision or decree by or of any Governmental Authority (each, a “</w:t>
      </w:r>
      <w:r>
        <w:rPr>
          <w:rFonts w:ascii="Times New Roman" w:hAnsi="Times New Roman"/>
          <w:color w:val="000000"/>
          <w:sz w:val="20"/>
          <w:u w:val="single"/>
        </w:rPr>
        <w:t>Judgment</w:t>
      </w:r>
      <w:r>
        <w:rPr>
          <w:rFonts w:ascii="Times New Roman" w:hAnsi="Times New Roman"/>
          <w:color w:val="000000"/>
          <w:sz w:val="20"/>
        </w:rPr>
        <w:t>”) outstanding against or imposed upon the Company or any of its Subsidiaries or any of the Affiliated Professional Entities.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18</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3.08.  </w:t>
      </w:r>
      <w:r>
        <w:rPr>
          <w:rFonts w:ascii="Times New Roman" w:hAnsi="Times New Roman"/>
          <w:color w:val="000000"/>
          <w:sz w:val="20"/>
          <w:u w:val="single"/>
        </w:rPr>
        <w:t>Compliance with Laws; Permits</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(a)  The Company and each of its Subsidiaries and each of the Affiliated Professional Entities are, and have been since January 1, 2024, in compliance with all local, state, federal or national, whether foreign, multi-national or domestic, laws (including common law), statutes, treaties, ordinances, codes, rules or regulations, decrees, Permits or requirements or other restrictions imposed by any Governmental Authorities, in each case, having the force and effect of law or any similar form of decision or approval of, or determination by, or any binding interpretation or administration of any of the foregoing by, any Governmental Authority (collectively, “</w:t>
      </w:r>
      <w:r>
        <w:rPr>
          <w:rFonts w:ascii="Times New Roman" w:hAnsi="Times New Roman"/>
          <w:color w:val="000000"/>
          <w:sz w:val="20"/>
          <w:u w:val="single"/>
        </w:rPr>
        <w:t>Laws</w:t>
      </w:r>
      <w:r>
        <w:rPr>
          <w:rFonts w:ascii="Times New Roman" w:hAnsi="Times New Roman"/>
          <w:color w:val="000000"/>
          <w:sz w:val="20"/>
        </w:rPr>
        <w:t>”) or Judgments, applicable to the Company, any of its Subsidiaries or any of the Affiliated Professional Entities or any of their respective assets or properties, except as would not, individually or in the aggregate, have a Material Adverse Effect.  Since January 1, 2024, neither the Company nor any of its Subsidiaries has received any written or, to the Knowledge of the Company, oral notice from any Governmental Authority alleging noncompliance with any Laws, except as would not, individually or in the aggregate, have a Material Adverse Effect.  Since January 1, 2024 none of the Affiliated Professional Entities has received any written or, to the Knowledge of the Company, oral notice from any Governmental Authority alleging noncompliance with any Laws, except as would not, individually or in the aggregate, have a Material Adverse Effect.</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(b)  The Company, each of its Subsidiaries and each of the Affiliated Professional Entities holds all licenses, franchises, permits, certificates, consents, approvals and authorizations from Governmental Authorities (collectively, “</w:t>
      </w:r>
      <w:r>
        <w:rPr>
          <w:rFonts w:ascii="Times New Roman" w:hAnsi="Times New Roman"/>
          <w:color w:val="000000"/>
          <w:sz w:val="20"/>
          <w:u w:val="single"/>
        </w:rPr>
        <w:t>Permits</w:t>
      </w:r>
      <w:r>
        <w:rPr>
          <w:rFonts w:ascii="Times New Roman" w:hAnsi="Times New Roman"/>
          <w:color w:val="000000"/>
          <w:sz w:val="20"/>
        </w:rPr>
        <w:t>”) necessary for the lawful conduct of their respective businesses as currently conducted, and all such Permits, to the extent necessary for the lawful conduct of their respective businesses as currently conducted, are in full force and effect and are not subject to any Action that would result in any modification, termination or revocation of any such Permit, except where the failure to hold the same or to be in full force and effect would not, individually or in the aggregate, have a Material Adverse Effect.</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(c)  Except as would not, individually or in the aggregate, have a Material Adverse Effect, the Company, each of its Subsidiaries, each of the Affiliated Professional Entities and each of its and their respective directors, officers and employees acting in such capacity are and, to the Knowledge of the Company, each of its and their other agents acting on its or their behalf is, and have been since January 1, 2024, in compliance with the Foreign Corrupt Practices Act of 1977 and any rules and regulations promulgated thereunder or any other applicable Laws relating to bribery, corruption or money laundering.</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19</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3.09.  </w:t>
      </w:r>
      <w:r>
        <w:rPr>
          <w:rFonts w:ascii="Times New Roman" w:hAnsi="Times New Roman"/>
          <w:color w:val="000000"/>
          <w:sz w:val="20"/>
          <w:u w:val="single"/>
        </w:rPr>
        <w:t>Tax Matters</w:t>
      </w:r>
      <w:r>
        <w:rPr>
          <w:rFonts w:ascii="Times New Roman" w:hAnsi="Times New Roman"/>
          <w:color w:val="000000"/>
          <w:sz w:val="20"/>
        </w:rPr>
        <w:t>.  Except as would not, individually or in the aggregate, have a Material Adverse Effect:</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(a)  The Company and each of its Subsidiaries and each of the Affiliated Professional Entities has prepared (or caused to be prepared) and timely filed (or caused to be timely filed) (taking into account valid extensions of time within which to file) all Tax Returns required to be filed by it, and all such filed Tax Returns (taking into account all amendments thereto) are true, complete and accurate and were prepared in compliance with all applicable Laws. All Taxes due and owing by the Company and its Subsidiaries and the Affiliated Professional Entities (whether or not shown on any Tax Return) have been timely paid in full.</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(b)  There are no Encumbrances for Taxes (other than Taxes not yet due and payable) upon any of the assets of the Company or any of its Subsidiaries or any of the Affiliated Professional Entities.</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(c)  The accrual or reserves for Taxes with respect to the Company and each of its Subsidiaries and each of the Affiliated Professional Entities for any Tax period ending on or before the Closing Date reflected on the Company’s financial statements (or the notes thereto) included in the Company SEC Documents are adequate, in accordance with GAAP, to cover all material Taxes payable by the Company and each of its Subsidiaries and each of the Affiliated Professional Entities for all periods through the date of such Company SEC Documents and such accrual or reserves.</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(d)  No deficiency or proposed adjustment for any amount of Tax has been proposed, asserted or assessed by any taxing authority in writing against the Company or any of its Subsidiaries or any of the Affiliated Professional Entities that has not been paid, settled or otherwise resolved.  There is no Action pending or, to the Knowledge of the Company, threatened in writing against the Company or any of its Subsidiaries or any of the Affiliated Professional Entities with respect to any Taxes.  Since January 1, 2024, there has not been an examination or written notice of potential examination of the Tax Returns filed with respect to the Company or any of its Subsidiaries or any of the Affiliated Professional Entities by any taxing authority.</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(e)  All Taxes that are required to be withheld or collected by the Company or any of its Subsidiaries or any of the Affiliated Professional Entities have been duly withheld and collected and, to the extent required, have been properly paid or deposited as required by applicable Laws.</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(f)  Since January 1, 2024, no claim has been made by any taxing authority in writing in a jurisdiction where neither the Company nor any of its Subsidiaries nor any of the Affiliated Professional Entities files a Tax Return alleging that the Company or any such Subsidiary or any such Affiliated Professional Entity (i) is or may be subject to any Tax by such jurisdiction or (ii) is or may be required to file a Tax Return in respect of such type of Tax in such jurisdiction.  Neither the Company nor any of its Subsidiaries nor any of the Affiliated Professional Entities is, or since January 1, 2024 has been, subject to any Tax in any country (other than its country of incorporation or formation) by virtue of having a permanent establishment (as defined in any applicable tax treaty) or other fixed place of business in such other country.</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20</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(g)  Neither the Company nor any of its Subsidiaries nor any of the Affiliated Professional Entities has been a “controlled corporation” or a “distributing corporation” in any distribution occurring during the two-year period ending on the date of this Agreement that was purported or intended to be governed by Section 355 of the Code (or any similar provision of state, local or non-U.S. Law).</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(h)  Neither the Company nor any of its Subsidiaries nor any of the Affiliated Professional Entities has been a member of an affiliated group of corporations filing a consolidated federal income Tax Return (other than a group the common parent of which is the Company) or has any liability for the Taxes of any Person (other than the Company or any of its Subsidiaries or any of the Affiliated Professional Entities) under Treasury Regulations Section 1.1502</w:t>
        <w:noBreakHyphen/>
        <w:t>6 (or any similar provision of any state, local or non-U.S. law) or as a transferee or successor.</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(i)  Neither the Company nor any of its Subsidiaries nor any of the Affiliated Professional Entities is a party to, or bound by, or has any obligation under, any Tax sharing Contract other than (i) Contracts solely among the Company, its Subsidiaries and the Affiliated Professional Entities and (ii) customary Tax indemnification provisions in any Contract the primary purpose of which does not relate to Taxes.</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(j)  Neither the Company nor any of its Subsidiaries nor any of the Affiliated Professional Entities has waived any statute of limitations in respect of Taxes or agreed to any extension of time with respect to an assessment or deficiency for Taxes (other than pursuant to extensions of time to file Tax Returns obtained in the ordinary course).</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(k)  Neither the Company nor any of its Subsidiaries nor any of the Affiliated Professional Entities will be required to include any item of income or exclude any item of deduction for any taxable period (or portion thereof) beginning after the Closing Date that would not have otherwise so been included or excluded as the case may be as a result of any of the following (i) a change in method of accounting for a taxable period ending on or prior to the Closing Date (or otherwise in connection with the transactions contemplated by this Agreement), (ii) use of the cash method, modified cash method, or modified accrual method or an improper method of accounting for a taxable period ending on or before the Closing Date, (iii) any “closing agreement,” as described in Section 7121 of the Code (or any corresponding provision of state, local or foreign Law), (iv) any installment sale or open transaction disposition made on or before the Closing Date, (v) intercompany transaction or excess loss account described in Treasury Regulations under Section 1502 of the Code (or any corresponding provision of applicable Law) in existence prior to the Closing Date, (vi) the receipt of any prepaid revenue on or before the Closing Date or deferred revenue realized on or before the Closing Date, in each case outside the ordinary course of business, or (vii) an election pursuant to Section 965(h) of the Code (or any corresponding provision of Tax Law) made with respect to any Taxable period (or portion thereof) ending on or prior to the Closing Date.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21</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(l)  Neither the Company nor any of its Subsidiaries nor any of the Affiliated Professional Entities has participated in any “listed transaction” within the meaning of Treasury Regulations Section 1.6011</w:t>
        <w:noBreakHyphen/>
        <w:t>4(b).</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(m)  Neither the Company nor any of its Subsidiaries nor any of the Affiliated Professional Entities is (i) a “passive foreign investment company” within the meaning of Section 1297(a) of the Code, or (ii) a “surrogate foreign corporation” within the meaning of Section 7874(a)(2)(B) of the Code or treated as a U.S. corporation under Section 7874(b) of the Code.</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3.10.  </w:t>
      </w:r>
      <w:r>
        <w:rPr>
          <w:rFonts w:ascii="Times New Roman" w:hAnsi="Times New Roman"/>
          <w:color w:val="000000"/>
          <w:sz w:val="20"/>
          <w:u w:val="single"/>
        </w:rPr>
        <w:t>Employee Benefits</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(a)  Section 3.10(a) of the Company Disclosure Letter contains a true and complete list, as of the date of this Agreement, of each material Company Plan.  With respect to each material Company Plan, the Company has made available to Parent true and complete copies (to the extent applicable) of (i) the plan document (or, if appropriate, a form thereof), or if the Company Plan is not written, a written description of the material terms thereof, including any amendments thereto, (ii) the most recent determination letter (or opinion letter for a pre-approved plan) received from the IRS, (iii) the most recent annual report on Form 5500 filed with the IRS and the most recent actuarial valuation or similar report and (iv) all current trust agreements and funding agreements.</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(b)  Section 3.10(b) of the Company Disclosure Letter sets forth a true and complete list of, with respect to each Equity-Based Award outstanding as of the Capitalization Date, (i) the holder’s name or identification number, (ii) the date of grant, (iii) the number of shares of Company Common Stock subject to such Equity-Based Award, (iv) the exercise or purchase price per share of Company Common Stock subject to such Equity-Based Award, (v) the expiration date, (vi) the Equity Plan under which such Equity-Based Award was granted, (vii) the vesting schedule and any performance conditions associated with such Equity-Based Award and (viii) whether such Equity-Based Award is intended to be treated as an “incentive stock option” pursuant to Section 422 of the Code.  Each Equity-Based Award was granted under an Equity Plan.</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(c)  Each Company Plan has been established, administered and funded in compliance with its terms and applicable Laws, including ERISA and the Code, as applicable, other than instances of noncompliance that would not, individually or in the aggregate, have a Material Adverse Effect.  Except as would not, individually or in the aggregate, have a Material Adverse Effect, with respect to each Company Plan, all contributions, distributions, reimbursements and premiums to, and payments from, such Company Plan required to be made in accordance with the terms of such Company Plan and, when applicable, the applicable Laws of the jurisdiction in which such Company Plan is maintained, have been timely made.</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(d)  Except as would not, individually or in the aggregate, have a Material Adverse Effect, each Company Plan intended to be “qualified” within the meaning of Section 401(a) of the Code has received a favorable determination letter from the IRS or is entitled to rely upon a favorable opinion issued by the IRS, and to the Knowledge of the Company, there are no existing circumstances or any events that have occurred that would reasonably be expected to adversely affect such qualification.</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22</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(e)  There are no pending, or to the Knowledge of the Company, threatened Actions (other than routine claims for benefits) by, on behalf of or against any Company Plan or any trust related thereto and no audit or other proceeding by a Governmental Authority is pending, or to the Knowledge of the Company, threatened with respect to any Company Plan, in each case, except as would not, individually or in the aggregate, have a Material Adverse Effect. Neither the Company nor any of its Subsidiaries nor any of their respective directors, employees or agents (each, acting in their capacity as such) has, with respect to any Company Plan, engaged in or been a party to any non-exempt “prohibited transaction,” as such term is defined in Section 4975 of the Code or Section 406 of ERISA, that would reasonably be expected to result in the imposition of a future penalty assessed pursuant to Section 502(i) of ERISA or a tax imposed by Section 4975 of the Code applicable to the Company, any of its Subsidiaries or any of their respective directors, employees or agents (in their capacity as such), in each case, except as would not, individually or in the aggregate, have a Material Adverse Effect.</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(f)  Neither the Company nor any Commonly Controlled Entity maintains, sponsors, contributes to or is required to contribute to, or within the past three (3) years has maintained, sponsored, contributed to or been required to contribute to, or has or may have any direct or indirect liability under or with respect to, any (i) plan that is subject to Title IV of ERISA or Section 412 of the Code or is otherwise a defined benefit plan (whether or not subject to ERISA), (ii) “multiemployer plan” (as defined in Sections 3(37) or 4001(a)(3) of ERISA) or (iii) plan that has two (2) or more contributing sponsors, at least two (2) of whom are not under common control or that is otherwise treated together with the Company as a single employer within the meaning of Section 414 of the Code. Neither the Company nor any Commonly Controlled Entity has incurred any Controlled Group Liability that has not been paid in full, nor to the Knowledge of the Company, do any circumstances exist that would reasonably be expected to result in any Controlled Group Liability becoming a liability of Parent or Merger Sub or any of their respective Affiliates. No Company Plan holds or invests in any “qualifying employer securities” within the meaning of Section 407(d)(5) of ERISA.</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(g)  No Company Plan provides benefits or coverage in the nature of health, life or disability insurance following retirement, other than benefits or coverage (i) required to be provided under Part 6 of Title I of ERISA or Section 4980(B)(f) of the Code or any other applicable Law or (ii) the full cost of which is borne by the recipient (or any of their beneficiaries).</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(h)  The Company, each Commonly Controlled Entity and any applicable Company Plan are in compliance with all provisions of the Patient Protection and Affordable Care Act, to the extent applicable, including the employer shared responsibility provisions relating to the offer of “affordable” health coverage that provides “minimum essential coverage” to “full-time” employees (as those terms are defined in Section 4980H of the Code and related regulations), and the payment of the applicable penalty, and the applicable employer information reporting provisions under Section 6055 of the Code and Section 6056 of the Code and related regulations, in each case, except as would not, individually or in the aggregate, have a Material Adverse Effect. The Company and each Commonly Controlled Entity are not reasonably expected to incur or be subject to, any material Tax, penalty or other liability that may be imposed under the Patient Protection and Affordable Care Act and the Health Care and Education Reconciliation Act of 2010.</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23</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(i)  Except as set forth in this Agreement, the consummation of the Transactions will not, either alone or in combination with another event, (i) accelerate the time of payment or vesting, or increase the amount of, any material compensation due to any director, officer or employee of the Company or any of its Subsidiaries or any of the Affiliated Professional Entities under any Company Plan, (ii) cause the Company to transfer or set aside any material assets to fund any benefits under any Company Plan, (iii) limit or restrict the right to amend, terminate or transfer the assets of any material Company Plan on or following the Effective Time, (iv)</w:t>
      </w:r>
      <w:r>
        <w:rPr>
          <w:rFonts w:ascii="Times New Roman" w:hAnsi="Times New Roman"/>
          <w:color w:val="1F1F1F"/>
          <w:sz w:val="20"/>
        </w:rPr>
        <w:t> </w:t>
      </w:r>
      <w:r>
        <w:rPr>
          <w:rFonts w:ascii="Times New Roman" w:hAnsi="Times New Roman"/>
          <w:color w:val="000000"/>
          <w:sz w:val="20"/>
        </w:rPr>
        <w:t>entitle any current or former director, officer, employee or individual service provider of the Company or any of its Subsidiaries or any of the Affiliated Professional Entities to any new type of compensation or benefit or (v) result in the payment of any amount (whether in cash or property or the vesting of property) that could, individually or in combination with any other such payment, constitute an “excess parachute payment” as defined in Section 280G(b)(1) of the Code or otherwise that would not be deductible by reason of Section 280G of the Code or would be subject to an excise tax under Section 4999 of the Code.</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(j)  Each Company Plan that is a nonqualified deferred compensation plan within the meaning of Section 409A of the Code has been established, administered, operated and maintained in operational and documentary compliance with Section 409A of the Code and applicable regulations and guidance thereunder, and no amount under any such Company Plan is, has been or is reasonably expected to be subject to any Tax under Section 409A of the Code, in each case, except as would not, individually or in the aggregate, have a Material Adverse Effect.  Neither the Company nor any of its Subsidiaries nor any of the Affiliated Professional Entities is a party to, or is otherwise obligated under, any plan, policy, agreement or arrangement that provides for the gross-up or reimbursement (or similar “make whole” payments or indemnities) of Taxes imposed under Sections 409A or 4999 of the Code (or any corresponding provisions of state or local Law relating to Tax).</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(k)  Except as would not, individually or in the aggregate, have a Material Adverse Effect, (i) each Non-U.S. Company Plan which is intended to qualify for special Tax treatment meets all requirements for such Tax treatment and (ii) each Non-U.S. Company Plan that is intended to be funded or book reserved is fully funded or book reserved, as appropriate, based upon reasonable actuarial assumptions.  “</w:t>
      </w:r>
      <w:r>
        <w:rPr>
          <w:rFonts w:ascii="Times New Roman" w:hAnsi="Times New Roman"/>
          <w:color w:val="000000"/>
          <w:sz w:val="20"/>
          <w:u w:val="single"/>
        </w:rPr>
        <w:t>Non-U.S. Company Plan</w:t>
      </w:r>
      <w:r>
        <w:rPr>
          <w:rFonts w:ascii="Times New Roman" w:hAnsi="Times New Roman"/>
          <w:color w:val="000000"/>
          <w:sz w:val="20"/>
        </w:rPr>
        <w:t>” means each Company Plan subject to Laws outside of the United States (whether or not United States Laws also apply).</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3.11.  </w:t>
      </w:r>
      <w:r>
        <w:rPr>
          <w:rFonts w:ascii="Times New Roman" w:hAnsi="Times New Roman"/>
          <w:color w:val="000000"/>
          <w:sz w:val="20"/>
          <w:u w:val="single"/>
        </w:rPr>
        <w:t>Labor Matters</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(a)  Section 3.11(a) of the Company Disclosure Letter contains a true and complete list, as of the date of this Agreement, for each current employee of the Company and its Subsidiaries and the Affiliated Professional Entities, such employee’s (i) name or employee identification number; (ii) annual base salary or hourly wage rate, as applicable; (iii) annual target bonus percentage or amount, as applicable; (iv) title; (v) employer; (vi) primary work location; (vii) whether exempt from the Fair Labor Standards Act; and (viii) whether active or on leave.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24</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(b)  As of the date of this Agreement, there are no Collective Bargaining Agreements and no employee of the Company or any of its Subsidiaries or any of the Affiliated Professional Entities is subject to any Collective Bargaining Agreement.  Except as would not, individually or in the aggregate, have a Material Adverse Effect, there is no pending or, to the Knowledge of the Company, threatened labor strike, lockout, slowdown or work stoppage by or with respect to the employees of the Company or any of its Subsidiaries or any of the Affiliated Professional Entities.</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(c)  The Company and its Subsidiaries and the Affiliated Professional Entities are in compliance with all applicable Laws relating to labor and employment matters, including occupational safety and health standards, terms and conditions of employment, payment of wages, classification of employees and contractors, immigration, meal and rest breaks, overtime, employment equality, human rights, pay equity and workers’ compensation, except as would not, individually or in the aggregate, have a Material Adverse Effect.  There are no grievances, complaints or charges with respect to employment or labor matters (including allegations of employment discrimination, wage and hour violations, sexual or other discriminatory harassment, sexual assault, retaliation or unfair labor practices) pending or, to the Knowledge of the Company, threatened in writing against the Company or any of its Subsidiaries or any of the Affiliated Professional Entities, except as would not, individually or in the aggregate, have a Material Adverse Effect.</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3.12.  </w:t>
      </w:r>
      <w:r>
        <w:rPr>
          <w:rFonts w:ascii="Times New Roman" w:hAnsi="Times New Roman"/>
          <w:color w:val="000000"/>
          <w:sz w:val="20"/>
          <w:u w:val="single"/>
        </w:rPr>
        <w:t>Environmental Matters</w:t>
      </w:r>
      <w:r>
        <w:rPr>
          <w:rFonts w:ascii="Times New Roman" w:hAnsi="Times New Roman"/>
          <w:color w:val="000000"/>
          <w:sz w:val="20"/>
        </w:rPr>
        <w:t>.  Except as would not, individually or in the aggregate, have a Material Adverse Effect, (a) the Company and each of its Subsidiaries and each of the Affiliated Professional Entities is, and has been since January 1, 2024, in compliance with all applicable Laws relating to pollution or the protection of human health and safety (as it relates to exposure to hazardous or toxic substances) or the environment or natural resources (“</w:t>
      </w:r>
      <w:r>
        <w:rPr>
          <w:rFonts w:ascii="Times New Roman" w:hAnsi="Times New Roman"/>
          <w:color w:val="000000"/>
          <w:sz w:val="20"/>
          <w:u w:val="single"/>
        </w:rPr>
        <w:t>Environmental Laws</w:t>
      </w:r>
      <w:r>
        <w:rPr>
          <w:rFonts w:ascii="Times New Roman" w:hAnsi="Times New Roman"/>
          <w:color w:val="000000"/>
          <w:sz w:val="20"/>
        </w:rPr>
        <w:t>”), (b) the Company and its Subsidiaries and the Affiliated Professional Entities possess and are in compliance with all Permits required under Environmental Laws for the operation of their respective businesses, (c) there is no Action, or written notice of violation or liability, under or pursuant to any Environmental Law that is pending or, to the Knowledge of the Company, threatened in writing since January 1, 2024 against the Company or any of its Subsidiaries or any of the Affiliated Professional Entities, (d) neither the Company nor any of its Subsidiaries nor any of the Affiliated Professional Entities is subject to any Judgment imposed by any Governmental Authority under which there are outstanding or unresolved obligations arising under Environmental Laws on the part of the Company or its Subsidiaries or the Affiliated Professional Entities and (e) neither the Company nor any of its Subsidiaries nor any of the Affiliated Professional Entities is conducting or funding any cleanup or other remedial activities under Environmental Law as a result of any release, spill or disposal of any hazardous or toxic substances at, in or under any real property leased by the Company or any of its Subsidiaries or any of the Affiliated Professional Entities.</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3.13.  </w:t>
      </w:r>
      <w:r>
        <w:rPr>
          <w:rFonts w:ascii="Times New Roman" w:hAnsi="Times New Roman"/>
          <w:color w:val="000000"/>
          <w:sz w:val="20"/>
          <w:u w:val="single"/>
        </w:rPr>
        <w:t>Intellectual Property</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(a)  Section 3.13(a) of the Company Disclosure Letter lists, as of the date of this Agreement, the following Owned Company Intellectual Property: (i) all Registered Company Intellectual Property, (ii) all material unregistered Trademarks and (iii) all material Software.  The Company and its Subsidiaries and the Affiliated Professional Entities own all of the Owned Company Intellectual Property, free and clear of all Encumbrances (other than Permitted Encumbrances).  All of the Registered Company Intellectual Property is subsisting and, to the Knowledge of the Company, valid and enforceable and has been duly maintained and has not expired, been cancelled or abandoned.</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25</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(b)  The Company or one of its Subsidiaries or one of the Affiliated Professional Entities owns, is licensed (or otherwise has the right) to use all material Intellectual Property reasonably necessary to conduct the business of the Company and its Subsidiaries and the Affiliated Professional Entities (taken as a whole) as conducted as of the date of this Agreement (collectively, the “</w:t>
      </w:r>
      <w:r>
        <w:rPr>
          <w:rFonts w:ascii="Times New Roman" w:hAnsi="Times New Roman"/>
          <w:color w:val="000000"/>
          <w:sz w:val="20"/>
          <w:u w:val="single"/>
        </w:rPr>
        <w:t>Company Intellectual Property</w:t>
      </w:r>
      <w:r>
        <w:rPr>
          <w:rFonts w:ascii="Times New Roman" w:hAnsi="Times New Roman"/>
          <w:color w:val="000000"/>
          <w:sz w:val="20"/>
        </w:rPr>
        <w:t xml:space="preserve">”); provided that nothing in this </w:t>
      </w:r>
      <w:r>
        <w:rPr>
          <w:rFonts w:ascii="Times New Roman" w:hAnsi="Times New Roman"/>
          <w:color w:val="000000"/>
          <w:sz w:val="20"/>
          <w:u w:val="single"/>
        </w:rPr>
        <w:t>Section 3.13(b)</w:t>
      </w:r>
      <w:r>
        <w:rPr>
          <w:rFonts w:ascii="Times New Roman" w:hAnsi="Times New Roman"/>
          <w:color w:val="000000"/>
          <w:sz w:val="20"/>
        </w:rPr>
        <w:t xml:space="preserve"> shall be interpreted or construed as a representation or warranty with respect to whether there is any infringement of any Intellectual Property, which is the subject of </w:t>
      </w:r>
      <w:r>
        <w:rPr>
          <w:rFonts w:ascii="Times New Roman" w:hAnsi="Times New Roman"/>
          <w:color w:val="000000"/>
          <w:sz w:val="20"/>
          <w:u w:val="single"/>
        </w:rPr>
        <w:t>Section 3.13(g)</w:t>
      </w:r>
      <w:r>
        <w:rPr>
          <w:rFonts w:ascii="Times New Roman" w:hAnsi="Times New Roman"/>
          <w:color w:val="000000"/>
          <w:sz w:val="20"/>
        </w:rPr>
        <w:t>.  The Company Intellectual Property owned or used by the Company and its Subsidiaries and the Affiliated Professional Entities immediately prior to Closing has not been made unavailable for continued ownership or use (as applicable) immediately after the Closing on substantially identical terms and conditions as owned or used by the Company and its Subsidiaries and the Affiliated Professional Entities prior to Closing as a result of any act or omission of the Company or any of its Subsidiaries or any of the Affiliated Professional Entities.</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(c)  Except as would not, individually or in the aggregate, have a Material Adverse Effect, neither the Company nor any of its Subsidiaries nor any of the Affiliated Professional Entities have entered into any consents, judgments, orders, indemnification agreements, forbearances to sue or settlement agreements that adversely affect the Company’s or its Subsidiaries’ or the Affiliated Professional Entities’ rights to own, use, make, transfer, encumber, assign, license, distribute, convey, sell or otherwise exploit the Owned Company Intellectual Property.</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(d)  Except as would not, individually or in the aggregate, have a Material Adverse Effect, the Company and its Subsidiaries and the Affiliated Professional Entities have taken commercially reasonable measures to protect and maintain the confidentiality of Proprietary Information included in the Owned Company Intellectual Property.</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(e)  Except as would not, individually or in the aggregate, have a Material Adverse Effect, no government funding, facilities of a university, college, hospital, foundation, other educational institution or research center or other funding from third parties provided specifically for research and development was used in the development of any Owned Company Intellectual Property in a manner that has resulted in such third party retaining any claim of ownership or right to use any such Owned Company Intellectual Property.  To the Knowledge of the Company, no Person who was involved in, or who contributed to, the creation or development of any Company Intellectual Property has performed services for the government, university, college, hospital, foundation or other educational institution or research center in a manner that would materially affect Company’s and its Subsidiaries’ and the Affiliated Professional Entities’ rights in the Owned Company Intellectual Property.</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(f)  Except as would not, individually or in the aggregate, have a Material Adverse Effect, all employees and material consultants of the Company and its Subsidiaries and the Affiliated Professional Entities who have developed within the scope of their employment or engagement any Owned Company Intellectual Property have entered into appropriate agreements providing for the assignment of all of their right, title and interest in any such Owned Company Intellectual Property to the Company or any of its Subsidiaries or any of the Affiliated Professional Entities.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26</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(g)  Except as would not, individually or in the aggregate, have a Material Adverse Effect, no adverse third-party Actions are pending or, to the Knowledge of the Company, since January 1, 2024, have been threatened in writing against the Company or any of its Subsidiaries or any of the Affiliated Professional Entities (i) challenging the ownership, validity or use by the Company or any of its Subsidiaries or any of the Affiliated Professional Entities of any Owned Company Intellectual Property or (ii) alleging that the Company or any of its Subsidiaries or any of the Affiliated Professional Entities have infringed, misappropriated or otherwise violated the Intellectual Property of any Person.  Except as would not, individually or in the aggregate, have a Material Adverse Effect, to the Knowledge of the Company, since January 1, 2024, the Owned Company Intellectual Property and the operation of the business of the Company and its Subsidiaries and the Affiliated Professional Entities has not infringed, misappropriated or otherwise violated the rights of any other Person.</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(h)  Except as would not, individually or in the aggregate, have a Material Adverse Effect, since January 1, 2024 (i) no Person is or has been infringing, misappropriating or otherwise violating the rights of the Company or any of its Subsidiaries or any of the Affiliated Professional Entities with respect to any Owned Company Intellectual Property and (ii) no Actions are pending or, to the Knowledge of the Company, have been threatened in writing against any other Person by or on behalf of the Company or any of its Subsidiaries or any of the Affiliated Professional Entities.</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(i)  Except as would not, individually or in the aggregate, have a Material Adverse Effect, all of the Software included in the Owned Company Intellectual Property (the “</w:t>
      </w:r>
      <w:r>
        <w:rPr>
          <w:rFonts w:ascii="Times New Roman" w:hAnsi="Times New Roman"/>
          <w:color w:val="000000"/>
          <w:sz w:val="20"/>
          <w:u w:val="single"/>
        </w:rPr>
        <w:t>Company Software</w:t>
      </w:r>
      <w:r>
        <w:rPr>
          <w:rFonts w:ascii="Times New Roman" w:hAnsi="Times New Roman"/>
          <w:color w:val="000000"/>
          <w:sz w:val="20"/>
        </w:rPr>
        <w:t>”) complies with the contractual commitments relating to its use, functionality, or performance.  Except as would not, individually or in the aggregate, have a Material Adverse Effect, the Company Software does not contain any intentional undisclosed feature (including any time bomb, virus, software lock, drop-dead device, malicious logic, worm, Trojan horse, or spyware) that is capable of (or that allows any untrusted party to be capable of) accessing, modifying, deleting, damaging, disabling, deactivating, interfering with or otherwise harming any computers, networks, data or other electronically stored information, or computer programs or systems.</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(j)  Except as would not, individually or in the aggregate, have a Material Adverse Effect, the Company and its Subsidiaries and the Affiliated Professional Entities have not disclosed, delivered, licensed or made available to any escrow agent or other Person, agreed to disclose, deliver, license or make available to any escrow agent or other Person, any source code for any Company Software, except for disclosures to employees or contractors under written agreements that prohibit further disclosure other than under confidentiality.  Except as would not, individually or in the aggregate, have a Material Adverse Effect, no event has occurred, and no circumstance or condition exists, that (with or without notice or lapse of time, or both) shall, or would reasonably be expected to, result in the disclosure or delivery by the Company or any of its Subsidiaries or any of the Affiliated Professional Entities or any other Person acting on their behalf to any third party of any source code for any Company Software.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27</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(k)  Except as would not, individually or in the aggregate, have a Material Adverse Effect, (i) the Company and its Subsidiaries and the Affiliated Professional Entities have complied in all respects with the requirements of the licenses for any third-party components (including Open Source Software) incorporated into any Company Software and (ii) the Company and its Subsidiaries and the Affiliated Professional Entities have not used any Open Source Software in such a way that would obligate the Company or any of its Subsidiaries or any of the Affiliated Professional Entities under the terms of such licenses to distribute, license or make available to any third party the source code of any of the Company Software.</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3.14.  </w:t>
      </w:r>
      <w:r>
        <w:rPr>
          <w:rFonts w:ascii="Times New Roman" w:hAnsi="Times New Roman"/>
          <w:color w:val="000000"/>
          <w:sz w:val="20"/>
          <w:u w:val="single"/>
        </w:rPr>
        <w:t>Data Privacy and Technology; Information Security</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(a)  Except as would not, individually or in the aggregate, have a Material Adverse Effect, the Company and its Subsidiaries and the Affiliated Professional Entities are and, since January 1, 2024, have been in compliance with (i) applicable Data Privacy Laws, (ii) all obligations regarding the collection, storage, processing, disclosure and use of Personal Information to which it is bound under Contract and (iii) the Company’s and its Subsidiaries’ and the Affiliated Professional Entities’ publicly posted external privacy policies regarding the Company’s and its Subsidiaries’ and the Affiliated Professional Entities’ collection, storage, processing, disclosure and use of Personal Information.</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(b)  Except as would not, individually or in the aggregate, have a Material Adverse Effect, since January 1, 2024, neither the Company nor any of its Subsidiaries nor any of the Affiliated Professional Entities has experienced any breaches, outages or unauthorized uses of or accesses to the Company IT Assets or any breaches or unauthorized uses of or accesses to Personal Information within the possession or control of the Company or any of its Subsidiaries or any of the Affiliated Professional Entities.  Since January 1, 2024, there has been no malfunction, failure, continued substandard performance, denial-of-service, or other cyber incident, including any cyberattack, or other impairment of the Company IT Assets that has resulted in a material disruption or material damage to the business of the Company and that has not been remedied.</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(c)  Except as would not, individually or in the aggregate, have a Material Adverse Effect, the Company IT Assets operate and perform as necessary to permit the Company and its Subsidiaries and the Affiliated Professional Entities to conduct the business of the Company and its Subsidiaries and the Affiliated Professional Entities (taken as a whole) as conducted as of the date hereof.  The Company and its Subsidiaries and the Affiliated Professional Entities have taken commercially reasonable steps and implemented commercially reasonable safeguards designed to protect the Company IT Assets and Personal Information stored on Company IT Assets from unauthorized access and from any disabling codes or instructions, spyware, Trojan horses, worms, viruses or other Software routines that permit or cause unauthorized access to, or unauthorized disruption, impairment, disablement or destruction of, Software or proprietary data.</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28</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(d)  Except as would not, individually or in the aggregate, have a Material Adverse Effect, no Governmental Authority or other Person has commenced or threatened in writing any litigation or other written complaint, audit, proceeding, fines, judgments, claim or investigation (formal or informal), arising from or relating to any of the Company’s (or any of its Subsidiaries’ or any of the Affiliated Professional Entities’) information privacy, protection or security practices or related to the Company’s (or any of its Subsidiaries’ or any of the Affiliated Professional Entities’) collection, use, processing, storage, transfer and security of Personal Information by the Company or any of its Subsidiaries or any of the Affiliated Professional Entities in any jurisdiction in which the Company or any of its Subsidiaries or any of the Affiliated Professional Entities operate their respective business.</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(e)  Except as would not, individually or in the aggregate, have a Material Adverse Effect, the Company and its Subsidiaries and the Affiliated Professional Entities have obtained all Privacy Consents as required under applicable Data Privacy Laws for all Processing of Personal Information performed by or on behalf of the Company and its Subsidiaries and the Affiliated Professional Entities, and the Company and its Subsidiaries and the Affiliated Professional Entities hold all records evidencing such Privacy Consents.  The Company and its Subsidiaries and the Affiliated Professional Entities have the valid and legal right (whether contractually, by Law, or otherwise) to Process all Personal Information for the purpose such Personal Information was collected, used, or disclosed in connection with the Company’s and its Subsidiaries’ and the Affiliated Professional Entities operation of their respective business.</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(f)  Except as would not, individually or in the aggregate, have a Material Adverse Effect, to the extent necessary or required, the Company and its Subsidiaries and the Affiliated Professional Entities are in compliance, and have been in compliance since January 1, 2024, with (i) PCI DSS, (ii) the related card brand rules and (iii) requirements in any Contracts between the Company (or any of its Subsidiaries or any of the Affiliated Professional Entities) and its payment processor and/or acquiring bank.</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(g)  Except as would not, individually or in the aggregate, have a Material Adverse Effect, the Company and each of its Subsidiaries and each of the Affiliated Professional Entities has entered into a data processing agreement with each of its vendors and subcontractors that reasonably protects the privacy and security of Personal Information and complies in all material respects with applicable Data Privacy Laws.  Except as would not, individually or in the aggregate, have a Material Adverse Effect, since January 1, 2024, neither the Company nor any of its Subsidiaries nor any of the Affiliated Professional Entities has received written notice of any breach of a data processing agreement with a vendor or other subcontractor of the Company or any of its Subsidiaries or any of the Affiliated Professional Entities.</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(h)  Since January 1, 2024, neither the Company nor any of its Subsidiaries nor any of the Affiliated Professional Entities has received written notice of, and there is no material Action pending or threatened with respect to, any alleged “breach” (as defined in 45 C.F.R. § 164.402) or any material violation of HIPAA or other Laws governing the privacy and security of personal or health information by the Company and its Subsidiaries and the Affiliated Professional Entities.  As of the date of this Agreement, no material “breach” (as defined in 45 C.F.R. § 164.402) involving the Company or any of its Subsidiaries or any of the Affiliated Professional Entities or any of its or their “workforce” or successful “security incident” (as defined in 45 C.F.R. § 164.304) has occurred with respect to “protected health information” (as defined in 45 C.F.R. § 160.103) in the possession or under the control of the Company and its Subsidiaries and the Affiliated Professional Entities.  The Company and its Subsidiaries and the Affiliated Professional Entities have (i) executed and maintained business associate agreements with each Person who is a “</w:t>
      </w:r>
      <w:r>
        <w:rPr>
          <w:rFonts w:ascii="Times New Roman" w:hAnsi="Times New Roman"/>
          <w:i/>
          <w:color w:val="000000"/>
          <w:sz w:val="20"/>
        </w:rPr>
        <w:t>covered entity</w:t>
      </w:r>
      <w:r>
        <w:rPr>
          <w:rFonts w:ascii="Times New Roman" w:hAnsi="Times New Roman"/>
          <w:color w:val="000000"/>
          <w:sz w:val="20"/>
        </w:rPr>
        <w:t>”, “</w:t>
      </w:r>
      <w:r>
        <w:rPr>
          <w:rFonts w:ascii="Times New Roman" w:hAnsi="Times New Roman"/>
          <w:i/>
          <w:color w:val="000000"/>
          <w:sz w:val="20"/>
        </w:rPr>
        <w:t>business associate</w:t>
      </w:r>
      <w:r>
        <w:rPr>
          <w:rFonts w:ascii="Times New Roman" w:hAnsi="Times New Roman"/>
          <w:color w:val="000000"/>
          <w:sz w:val="20"/>
        </w:rPr>
        <w:t>” or a “</w:t>
      </w:r>
      <w:r>
        <w:rPr>
          <w:rFonts w:ascii="Times New Roman" w:hAnsi="Times New Roman"/>
          <w:i/>
          <w:color w:val="000000"/>
          <w:sz w:val="20"/>
        </w:rPr>
        <w:t>subcontractor</w:t>
      </w:r>
      <w:r>
        <w:rPr>
          <w:rFonts w:ascii="Times New Roman" w:hAnsi="Times New Roman"/>
          <w:color w:val="000000"/>
          <w:sz w:val="20"/>
        </w:rPr>
        <w:t>” of the Company and its Subsidiaries and the Affiliated Professional Entities, (ii) when acting as a “part 2 program” (as defined at 42 C.F.R. § 2.11), executed and maintained a qualified service organization agreement with each Person which is a “qualified service organization” (as defined at 42 C.F.R. § 2.11) of the “part 2 program,” and (iii) when acting as a “qualified service organization,” executed and maintained a qualified service organization agreement with each Person which is a “part 2 program” served by the “qualified service organization.”  The Company and its Subsidiaries and the Affiliated Professional Entities have completed a periodic security “risk analysis” as described and to the extent required by 45 C.F.R. § 164.308(a)(1)(ii)(A).  Except as would not, individually or in the aggregate, have a Material Adverse Effect, the Company and its Subsidiaries and the Affiliated Professional Entities have promptly addressed and fully remediated all threats and deficiencies identified in every security risk analysis.  Except as would not, individually or in the aggregate, have a Material Adverse Effect, neither the execution, delivery or performance of this Agreement by the Company, nor the consummation of the Transactions by the Company, including any direct or indirect transfer of Personal Information resulting from such transactions, will violate any Data Privacy Laws or Privacy Consents.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29</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3.15.  </w:t>
      </w:r>
      <w:r>
        <w:rPr>
          <w:rFonts w:ascii="Times New Roman" w:hAnsi="Times New Roman"/>
          <w:color w:val="000000"/>
          <w:sz w:val="20"/>
          <w:u w:val="single"/>
        </w:rPr>
        <w:t>Property</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(a)  Neither the Company nor any of its Subsidiaries nor any of the Affiliated Professional Entities owns, or has ever owned, any real property.</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(b)  Section 3.15(b) of the Company Disclosure Letter lists, as of the date of this Agreement, the address of each Leased Real Property and the Company Lease with respect thereto. The Company has delivered to Parent a true and complete copy of each Company Lease document. Except as would not, individually or in the aggregate, have a Material Adverse Effect, with respect to each Company Lease, (i) the Company or one of its Subsidiaries has a good and valid leasehold, sub-leasehold or license interest (as lessee, sublessee or licensee) in each Leased Real Property, free and clear of all Encumbrances (other than Permitted Encumbrances), subject to the terms of such Company Lease, (ii) such Company Lease is legal, valid, binding, enforceable and in full force and effect, (iii) the Company’s or one of its Subsidiaries’ possession and quiet enjoyment of the Leased Real Property under such Company Lease has not been disturbed, and to the Knowledge of the Company, there are no disputes with respect to such Leased Real Property, (iv) neither the Company nor any of its Subsidiaries has received written notice of any Actions in eminent domain, condemnation or other similar Actions that are pending, and, to the Knowledge of the Company, there are no such Actions threatened, in each case, affecting any portion of the Leased Real Property, (v) no Leased Real Property is subject to any license, sublease or use and occupancy agreement pursuant to which the Company or any of its Subsidiaries has granted any third party the right to lease, sublease, use or occupy all or any portion of any Leased Real Property, (vi) neither the Company nor any of its Subsidiaries nor any other party to such Company Lease is in breach or default under such Company Lease, and no event has occurred or circumstance exists which, with the delivery of notice, the passage of time or both, would constitute such a breach or default, or permit the termination, modification or acceleration of rent under such Company Lease, (vii) no security deposit or portion thereof deposited with respect such Company Lease has been applied in respect of a breach or default under such Company Lease which has not been redeposited in full and (viii) the other party to such Company Lease is not an Affiliate of, and otherwise does not have any economic interest in, the Company or any of its Subsidiaries. The Leased Real Property identified on Section 3.15(b) of the Company Disclosure Letter comprises all of the real property used or intended to be used in, or otherwise related to, the business of the Company and its Subsidiaries and the Affiliated Professional Entities.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30</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3.16.  </w:t>
      </w:r>
      <w:r>
        <w:rPr>
          <w:rFonts w:ascii="Times New Roman" w:hAnsi="Times New Roman"/>
          <w:color w:val="000000"/>
          <w:sz w:val="20"/>
          <w:u w:val="single"/>
        </w:rPr>
        <w:t>Contracts</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(a)  Section 3.16(a) of the Company Disclosure Letter sets forth a true and complete list, as of the date of this Agreement, of each Material Contract.  For purposes of this Agreement, “</w:t>
      </w:r>
      <w:r>
        <w:rPr>
          <w:rFonts w:ascii="Times New Roman" w:hAnsi="Times New Roman"/>
          <w:color w:val="000000"/>
          <w:sz w:val="20"/>
          <w:u w:val="single"/>
        </w:rPr>
        <w:t>Material Contract</w:t>
      </w:r>
      <w:r>
        <w:rPr>
          <w:rFonts w:ascii="Times New Roman" w:hAnsi="Times New Roman"/>
          <w:color w:val="000000"/>
          <w:sz w:val="20"/>
        </w:rPr>
        <w:t>” means any Contract (but excluding any Company Plan or Collective Bargaining Agreement) to which the Company, any of its Subsidiaries or any of the Affiliated Professional Entities is a party or by which the Company, any of its Subsidiaries or any of the Affiliated Professional Entities or any of their respective properties or assets is bound that:</w:t>
      </w:r>
    </w:p>
    <w:p>
      <w:pPr>
        <w:pStyle w:val="TextBody"/>
        <w:bidi w:val="0"/>
        <w:spacing w:before="0" w:after="0"/>
        <w:jc w:val="left"/>
        <w:rPr/>
      </w:pPr>
      <w:r>
        <w:rPr/>
      </w:r>
    </w:p>
    <w:p>
      <w:pPr>
        <w:pStyle w:val="TextBody"/>
        <w:bidi w:val="0"/>
        <w:spacing w:before="0" w:after="0"/>
        <w:ind w:left="720" w:right="0" w:firstLine="1080"/>
        <w:jc w:val="left"/>
        <w:rPr>
          <w:rFonts w:ascii="Times New Roman" w:hAnsi="Times New Roman"/>
          <w:color w:val="000000"/>
          <w:sz w:val="20"/>
        </w:rPr>
      </w:pPr>
      <w:r>
        <w:rPr>
          <w:rFonts w:ascii="Times New Roman" w:hAnsi="Times New Roman"/>
          <w:color w:val="000000"/>
          <w:sz w:val="20"/>
        </w:rPr>
        <w:t>(i)  is filed or required to be filed as an exhibit to the Company’s Annual Report on Form 10-K or is otherwise a “material contract” (as such term is defined in Item 601(b)(10) of Regulation S-K under the Securities Act);</w:t>
      </w:r>
    </w:p>
    <w:p>
      <w:pPr>
        <w:pStyle w:val="TextBody"/>
        <w:bidi w:val="0"/>
        <w:spacing w:before="0" w:after="0"/>
        <w:jc w:val="left"/>
        <w:rPr/>
      </w:pPr>
      <w:r>
        <w:rPr/>
      </w:r>
    </w:p>
    <w:p>
      <w:pPr>
        <w:pStyle w:val="TextBody"/>
        <w:bidi w:val="0"/>
        <w:spacing w:before="0" w:after="0"/>
        <w:ind w:left="720" w:right="0" w:firstLine="1080"/>
        <w:jc w:val="left"/>
        <w:rPr>
          <w:rFonts w:ascii="Times New Roman" w:hAnsi="Times New Roman"/>
          <w:color w:val="000000"/>
          <w:sz w:val="20"/>
        </w:rPr>
      </w:pPr>
      <w:r>
        <w:rPr>
          <w:rFonts w:ascii="Times New Roman" w:hAnsi="Times New Roman"/>
          <w:color w:val="000000"/>
          <w:sz w:val="20"/>
        </w:rPr>
        <w:t>(ii)  is a joint venture, partnership, co-investment, limited liability company, strategic alliance or other similar arrangement that is material to the business of the Company or any of its Subsidiaries, other than with respect to any arrangement that is solely between or among the Company, any of its wholly owned Subsidiaries and any of the Affiliated Professional Entities;</w:t>
      </w:r>
    </w:p>
    <w:p>
      <w:pPr>
        <w:pStyle w:val="TextBody"/>
        <w:bidi w:val="0"/>
        <w:spacing w:before="0" w:after="0"/>
        <w:jc w:val="left"/>
        <w:rPr/>
      </w:pPr>
      <w:r>
        <w:rPr/>
      </w:r>
    </w:p>
    <w:p>
      <w:pPr>
        <w:pStyle w:val="TextBody"/>
        <w:bidi w:val="0"/>
        <w:spacing w:before="0" w:after="0"/>
        <w:ind w:left="720" w:right="0" w:firstLine="1080"/>
        <w:jc w:val="left"/>
        <w:rPr>
          <w:rFonts w:ascii="Times New Roman" w:hAnsi="Times New Roman"/>
          <w:color w:val="000000"/>
          <w:sz w:val="20"/>
        </w:rPr>
      </w:pPr>
      <w:r>
        <w:rPr>
          <w:rFonts w:ascii="Times New Roman" w:hAnsi="Times New Roman"/>
          <w:color w:val="000000"/>
          <w:sz w:val="20"/>
        </w:rPr>
        <w:t xml:space="preserve">(iii)  provides for (x) indebtedness for borrowed money or any guarantee of indebtedness for borrowed money or (y) the mortgaging, pledging or otherwise placing of any Encumbrance (other than any Permitted Encumbrance) on any material portion of the assets or properties, in each case of </w:t>
      </w:r>
      <w:r>
        <w:rPr>
          <w:rFonts w:ascii="Times New Roman" w:hAnsi="Times New Roman"/>
          <w:color w:val="000000"/>
          <w:sz w:val="20"/>
          <w:u w:val="single"/>
        </w:rPr>
        <w:t>clauses (x)</w:t>
      </w:r>
      <w:r>
        <w:rPr>
          <w:rFonts w:ascii="Times New Roman" w:hAnsi="Times New Roman"/>
          <w:color w:val="000000"/>
          <w:sz w:val="20"/>
        </w:rPr>
        <w:t xml:space="preserve"> and </w:t>
      </w:r>
      <w:r>
        <w:rPr>
          <w:rFonts w:ascii="Times New Roman" w:hAnsi="Times New Roman"/>
          <w:color w:val="000000"/>
          <w:sz w:val="20"/>
          <w:u w:val="single"/>
        </w:rPr>
        <w:t>(y)</w:t>
      </w:r>
      <w:r>
        <w:rPr>
          <w:rFonts w:ascii="Times New Roman" w:hAnsi="Times New Roman"/>
          <w:color w:val="000000"/>
          <w:sz w:val="20"/>
        </w:rPr>
        <w:t>, of the Company or any of its Subsidiaries and having an outstanding or committed amount in excess of $1,000,000, other than indebtedness solely between or among any of the Company, its Subsidiaries and any of the Affiliated Professional Entities;</w:t>
      </w:r>
    </w:p>
    <w:p>
      <w:pPr>
        <w:pStyle w:val="TextBody"/>
        <w:bidi w:val="0"/>
        <w:spacing w:before="0" w:after="0"/>
        <w:jc w:val="left"/>
        <w:rPr/>
      </w:pPr>
      <w:r>
        <w:rPr/>
      </w:r>
    </w:p>
    <w:p>
      <w:pPr>
        <w:pStyle w:val="TextBody"/>
        <w:bidi w:val="0"/>
        <w:spacing w:before="0" w:after="0"/>
        <w:ind w:left="720" w:right="0" w:firstLine="1080"/>
        <w:jc w:val="left"/>
        <w:rPr>
          <w:rFonts w:ascii="Times New Roman" w:hAnsi="Times New Roman"/>
          <w:color w:val="000000"/>
          <w:sz w:val="20"/>
        </w:rPr>
      </w:pPr>
      <w:r>
        <w:rPr>
          <w:rFonts w:ascii="Times New Roman" w:hAnsi="Times New Roman"/>
          <w:color w:val="000000"/>
          <w:sz w:val="20"/>
        </w:rPr>
        <w:t xml:space="preserve">(iv)  relates to the acquisition or disposition of any business, assets, properties or equity interests (whether by merger, sale of stock, sale of assets or otherwise) for aggregate consideration under such Contract in excess of $1,000,000 (A) that was entered into after January 1, 2024 or (B) pursuant to which any earn-out, indemnification or deferred or contingent payment obligations remain outstanding that would reasonably be expected to involve payments by or to the Company, any of its Subsidiaries or any of the Affiliated Professional Entities of more than $1,000,000, individually or in the aggregate, in the case of each of </w:t>
      </w:r>
      <w:r>
        <w:rPr>
          <w:rFonts w:ascii="Times New Roman" w:hAnsi="Times New Roman"/>
          <w:color w:val="000000"/>
          <w:sz w:val="20"/>
          <w:u w:val="single"/>
        </w:rPr>
        <w:t>clauses (A)</w:t>
      </w:r>
      <w:r>
        <w:rPr>
          <w:rFonts w:ascii="Times New Roman" w:hAnsi="Times New Roman"/>
          <w:color w:val="000000"/>
          <w:sz w:val="20"/>
        </w:rPr>
        <w:t xml:space="preserve"> and </w:t>
      </w:r>
      <w:r>
        <w:rPr>
          <w:rFonts w:ascii="Times New Roman" w:hAnsi="Times New Roman"/>
          <w:color w:val="000000"/>
          <w:sz w:val="20"/>
          <w:u w:val="single"/>
        </w:rPr>
        <w:t>(B)</w:t>
      </w:r>
      <w:r>
        <w:rPr>
          <w:rFonts w:ascii="Times New Roman" w:hAnsi="Times New Roman"/>
          <w:color w:val="000000"/>
          <w:sz w:val="20"/>
        </w:rPr>
        <w:t>, excluding (x) acquisitions or dispositions of inventory or equipment in the ordinary course of business, (y) acquisitions or dispositions of assets that are obsolete, worn out, surplus or no longer used or useful in the conduct of business of the Company, its Subsidiaries or the Affiliated Professional Entities or (z) repurchases by the Company of Company Common Stock from Company employees;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31</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720" w:right="0" w:firstLine="1080"/>
        <w:jc w:val="left"/>
        <w:rPr>
          <w:rFonts w:ascii="Times New Roman" w:hAnsi="Times New Roman"/>
          <w:color w:val="000000"/>
          <w:sz w:val="20"/>
        </w:rPr>
      </w:pPr>
      <w:r>
        <w:rPr>
          <w:rFonts w:ascii="Times New Roman" w:hAnsi="Times New Roman"/>
          <w:color w:val="000000"/>
          <w:sz w:val="20"/>
        </w:rPr>
        <w:t xml:space="preserve">(v)  (x) pursuant to which any material Intellectual Property is licensed to the Company or any of its Subsidiaries or any of the Affiliated Professional Entities or (y) pursuant to which the Company or any of its Subsidiaries or any of the Affiliated Professional Entities has granted to any Person a license in any material Owned Company Intellectual Property, in the case of each of </w:t>
      </w:r>
      <w:r>
        <w:rPr>
          <w:rFonts w:ascii="Times New Roman" w:hAnsi="Times New Roman"/>
          <w:color w:val="000000"/>
          <w:sz w:val="20"/>
          <w:u w:val="single"/>
        </w:rPr>
        <w:t>clauses (x)</w:t>
      </w:r>
      <w:r>
        <w:rPr>
          <w:rFonts w:ascii="Times New Roman" w:hAnsi="Times New Roman"/>
          <w:color w:val="000000"/>
          <w:sz w:val="20"/>
        </w:rPr>
        <w:t xml:space="preserve"> and </w:t>
      </w:r>
      <w:r>
        <w:rPr>
          <w:rFonts w:ascii="Times New Roman" w:hAnsi="Times New Roman"/>
          <w:color w:val="000000"/>
          <w:sz w:val="20"/>
          <w:u w:val="single"/>
        </w:rPr>
        <w:t>(y)</w:t>
      </w:r>
      <w:r>
        <w:rPr>
          <w:rFonts w:ascii="Times New Roman" w:hAnsi="Times New Roman"/>
          <w:color w:val="000000"/>
          <w:sz w:val="20"/>
        </w:rPr>
        <w:t>, excluding (A) licenses to off-the-shelf Software or other Software available on generally standard terms and conditions; (B) non-exclusive licenses granted or received in the ordinary course of business; (C) Contracts under which a license to Intellectual Property is merely incidental to the transaction contemplated in such Contract; (D) confidentiality and non-disclosure agreements entered into in the ordinary course of business; and (E) proprietary agreements with employees or contractors on standard forms (or substantially similar forms) of the Company or any of its Subsidiaries;</w:t>
      </w:r>
    </w:p>
    <w:p>
      <w:pPr>
        <w:pStyle w:val="TextBody"/>
        <w:bidi w:val="0"/>
        <w:spacing w:before="0" w:after="0"/>
        <w:jc w:val="left"/>
        <w:rPr/>
      </w:pPr>
      <w:r>
        <w:rPr/>
      </w:r>
    </w:p>
    <w:p>
      <w:pPr>
        <w:pStyle w:val="TextBody"/>
        <w:bidi w:val="0"/>
        <w:spacing w:before="0" w:after="0"/>
        <w:ind w:left="720" w:right="0" w:firstLine="1080"/>
        <w:jc w:val="left"/>
        <w:rPr>
          <w:rFonts w:ascii="Times New Roman" w:hAnsi="Times New Roman"/>
          <w:color w:val="000000"/>
          <w:sz w:val="20"/>
        </w:rPr>
      </w:pPr>
      <w:r>
        <w:rPr>
          <w:rFonts w:ascii="Times New Roman" w:hAnsi="Times New Roman"/>
          <w:color w:val="000000"/>
          <w:sz w:val="20"/>
        </w:rPr>
        <w:t>(vi)  obligates the Company, any of its Subsidiaries or any of the Affiliated Professional Entities to make any capital expenditure in an amount in excess of $1,000,000 in any calendar year;</w:t>
      </w:r>
    </w:p>
    <w:p>
      <w:pPr>
        <w:pStyle w:val="TextBody"/>
        <w:bidi w:val="0"/>
        <w:spacing w:before="0" w:after="0"/>
        <w:jc w:val="left"/>
        <w:rPr/>
      </w:pPr>
      <w:r>
        <w:rPr/>
      </w:r>
    </w:p>
    <w:p>
      <w:pPr>
        <w:pStyle w:val="TextBody"/>
        <w:bidi w:val="0"/>
        <w:spacing w:before="0" w:after="0"/>
        <w:ind w:left="720" w:right="0" w:firstLine="1080"/>
        <w:jc w:val="left"/>
        <w:rPr>
          <w:rFonts w:ascii="Times New Roman" w:hAnsi="Times New Roman"/>
          <w:color w:val="000000"/>
          <w:sz w:val="20"/>
        </w:rPr>
      </w:pPr>
      <w:r>
        <w:rPr>
          <w:rFonts w:ascii="Times New Roman" w:hAnsi="Times New Roman"/>
          <w:color w:val="000000"/>
          <w:sz w:val="20"/>
        </w:rPr>
        <w:t xml:space="preserve">(vii)  contains provisions that (A) prohibit in a material respect the Company, any of its Subsidiaries or any of the Affiliated Professional Entities from competing in or conducting any line of business or soliciting any Person for employment, service or engagement or grant a right of exclusivity to any Person that (x) prevents the Company, any of its Subsidiaries or any of the Affiliated Professional Entities from entering any geographic territory or (y) materially restricts future business activity of the Company, any of its Subsidiaries or any of the Affiliated Professional Entities or (B) are material “most-favored-nation” pricing provisions granted by the Company, any of its Subsidiaries or any of the Affiliated Professional Entities, in the case of each of </w:t>
      </w:r>
      <w:r>
        <w:rPr>
          <w:rFonts w:ascii="Times New Roman" w:hAnsi="Times New Roman"/>
          <w:color w:val="000000"/>
          <w:sz w:val="20"/>
          <w:u w:val="single"/>
        </w:rPr>
        <w:t>clauses (A)</w:t>
      </w:r>
      <w:r>
        <w:rPr>
          <w:rFonts w:ascii="Times New Roman" w:hAnsi="Times New Roman"/>
          <w:color w:val="000000"/>
          <w:sz w:val="20"/>
        </w:rPr>
        <w:t xml:space="preserve"> or </w:t>
      </w:r>
      <w:r>
        <w:rPr>
          <w:rFonts w:ascii="Times New Roman" w:hAnsi="Times New Roman"/>
          <w:color w:val="000000"/>
          <w:sz w:val="20"/>
          <w:u w:val="single"/>
        </w:rPr>
        <w:t>(B)</w:t>
      </w:r>
      <w:r>
        <w:rPr>
          <w:rFonts w:ascii="Times New Roman" w:hAnsi="Times New Roman"/>
          <w:color w:val="000000"/>
          <w:sz w:val="20"/>
        </w:rPr>
        <w:t xml:space="preserve">, other than (1) Contracts that can be terminated (including such restrictive provisions) by the Company or any of its Subsidiaries on less than 90 days’ notice without payment by the Company or any of its Subsidiaries of any material penalty, (2) license agreements for Intellectual Property limiting the Company’s or its Subsidiaries’ use of such Intellectual Property to specified fields of use, (3) Contracts solely between or among the Company, any of its Subsidiaries and any of the Affiliated Professional Entities and (4) in the case of </w:t>
      </w:r>
      <w:r>
        <w:rPr>
          <w:rFonts w:ascii="Times New Roman" w:hAnsi="Times New Roman"/>
          <w:color w:val="000000"/>
          <w:sz w:val="20"/>
          <w:u w:val="single"/>
        </w:rPr>
        <w:t>clause (A)</w:t>
      </w:r>
      <w:r>
        <w:rPr>
          <w:rFonts w:ascii="Times New Roman" w:hAnsi="Times New Roman"/>
          <w:color w:val="000000"/>
          <w:sz w:val="20"/>
        </w:rPr>
        <w:t>, nondisclosure agreements and Contracts with vendors entered into in the ordinary course of business;</w:t>
      </w:r>
    </w:p>
    <w:p>
      <w:pPr>
        <w:pStyle w:val="TextBody"/>
        <w:bidi w:val="0"/>
        <w:spacing w:before="0" w:after="0"/>
        <w:jc w:val="left"/>
        <w:rPr/>
      </w:pPr>
      <w:r>
        <w:rPr/>
      </w:r>
    </w:p>
    <w:p>
      <w:pPr>
        <w:pStyle w:val="TextBody"/>
        <w:bidi w:val="0"/>
        <w:spacing w:before="0" w:after="0"/>
        <w:ind w:left="720" w:right="0" w:firstLine="1080"/>
        <w:jc w:val="left"/>
        <w:rPr>
          <w:rFonts w:ascii="Times New Roman" w:hAnsi="Times New Roman"/>
          <w:color w:val="000000"/>
          <w:sz w:val="20"/>
        </w:rPr>
      </w:pPr>
      <w:r>
        <w:rPr>
          <w:rFonts w:ascii="Times New Roman" w:hAnsi="Times New Roman"/>
          <w:color w:val="000000"/>
          <w:sz w:val="20"/>
        </w:rPr>
        <w:t>(viii)  relates to any Affiliate Transaction;</w:t>
      </w:r>
    </w:p>
    <w:p>
      <w:pPr>
        <w:pStyle w:val="TextBody"/>
        <w:bidi w:val="0"/>
        <w:spacing w:before="0" w:after="0"/>
        <w:jc w:val="left"/>
        <w:rPr/>
      </w:pPr>
      <w:r>
        <w:rPr/>
      </w:r>
    </w:p>
    <w:p>
      <w:pPr>
        <w:pStyle w:val="TextBody"/>
        <w:bidi w:val="0"/>
        <w:spacing w:before="0" w:after="0"/>
        <w:ind w:left="720" w:right="0" w:firstLine="1080"/>
        <w:jc w:val="left"/>
        <w:rPr>
          <w:rFonts w:ascii="Times New Roman" w:hAnsi="Times New Roman"/>
          <w:color w:val="000000"/>
          <w:sz w:val="20"/>
        </w:rPr>
      </w:pPr>
      <w:r>
        <w:rPr>
          <w:rFonts w:ascii="Times New Roman" w:hAnsi="Times New Roman"/>
          <w:color w:val="000000"/>
          <w:sz w:val="20"/>
        </w:rPr>
        <w:t>(ix)  is with any of the top twenty (20) Third-Party Payor Programs by revenue received by the Company, its Subsidiaries and the Affiliated Professional Entities, on a combined basis, for the twelve (12)-month period ended as of December 31, 2025;</w:t>
      </w:r>
    </w:p>
    <w:p>
      <w:pPr>
        <w:pStyle w:val="TextBody"/>
        <w:bidi w:val="0"/>
        <w:spacing w:before="0" w:after="0"/>
        <w:jc w:val="left"/>
        <w:rPr/>
      </w:pPr>
      <w:r>
        <w:rPr/>
      </w:r>
    </w:p>
    <w:p>
      <w:pPr>
        <w:pStyle w:val="TextBody"/>
        <w:bidi w:val="0"/>
        <w:spacing w:before="0" w:after="0"/>
        <w:ind w:left="720" w:right="0" w:firstLine="1080"/>
        <w:jc w:val="left"/>
        <w:rPr>
          <w:rFonts w:ascii="Times New Roman" w:hAnsi="Times New Roman"/>
          <w:color w:val="000000"/>
          <w:sz w:val="20"/>
        </w:rPr>
      </w:pPr>
      <w:r>
        <w:rPr>
          <w:rFonts w:ascii="Times New Roman" w:hAnsi="Times New Roman"/>
          <w:color w:val="000000"/>
          <w:sz w:val="20"/>
        </w:rPr>
        <w:t>(x)  relates to a settlement for any Action (x) involving any payments after the date of this Agreement from or by the Company, any of its Subsidiaries or any of the Affiliated Professional Entities in excess of $1,000,000, individually or in the aggregate, or (y) imposing any material non-monetary obligations or liabilities on the Company, any of its Subsidiaries or any of the Affiliated Professional Entities (other than customary non-disclosure obligations);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32</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720" w:right="0" w:firstLine="1080"/>
        <w:jc w:val="left"/>
        <w:rPr>
          <w:rFonts w:ascii="Times New Roman" w:hAnsi="Times New Roman"/>
          <w:color w:val="000000"/>
          <w:sz w:val="20"/>
        </w:rPr>
      </w:pPr>
      <w:r>
        <w:rPr>
          <w:rFonts w:ascii="Times New Roman" w:hAnsi="Times New Roman"/>
          <w:color w:val="000000"/>
          <w:sz w:val="20"/>
        </w:rPr>
        <w:t>(xi)  is with any of the ten (10) largest vendors of the Company, its Subsidiaries and the Affiliated Professional Entities by aggregate spend, on a combined basis, for the twelve (12)-month period ended as of December 31, 2025;</w:t>
      </w:r>
    </w:p>
    <w:p>
      <w:pPr>
        <w:pStyle w:val="TextBody"/>
        <w:bidi w:val="0"/>
        <w:spacing w:before="0" w:after="0"/>
        <w:jc w:val="left"/>
        <w:rPr/>
      </w:pPr>
      <w:r>
        <w:rPr/>
      </w:r>
    </w:p>
    <w:p>
      <w:pPr>
        <w:pStyle w:val="TextBody"/>
        <w:bidi w:val="0"/>
        <w:spacing w:before="0" w:after="0"/>
        <w:ind w:left="720" w:right="0" w:firstLine="1080"/>
        <w:jc w:val="left"/>
        <w:rPr>
          <w:rFonts w:ascii="Times New Roman" w:hAnsi="Times New Roman"/>
          <w:color w:val="000000"/>
          <w:sz w:val="20"/>
        </w:rPr>
      </w:pPr>
      <w:r>
        <w:rPr>
          <w:rFonts w:ascii="Times New Roman" w:hAnsi="Times New Roman"/>
          <w:color w:val="000000"/>
          <w:sz w:val="20"/>
        </w:rPr>
        <w:t>(xii)  is with any Governmental Authority as a customer involving or reasonably likely to involve payments in excess of $1,000,000 in any calendar year; or</w:t>
      </w:r>
    </w:p>
    <w:p>
      <w:pPr>
        <w:pStyle w:val="TextBody"/>
        <w:bidi w:val="0"/>
        <w:spacing w:before="0" w:after="0"/>
        <w:jc w:val="left"/>
        <w:rPr/>
      </w:pPr>
      <w:r>
        <w:rPr/>
      </w:r>
    </w:p>
    <w:p>
      <w:pPr>
        <w:pStyle w:val="TextBody"/>
        <w:bidi w:val="0"/>
        <w:spacing w:before="0" w:after="0"/>
        <w:ind w:left="720" w:right="0" w:firstLine="1080"/>
        <w:jc w:val="left"/>
        <w:rPr>
          <w:rFonts w:ascii="Times New Roman" w:hAnsi="Times New Roman"/>
          <w:color w:val="000000"/>
          <w:sz w:val="20"/>
        </w:rPr>
      </w:pPr>
      <w:r>
        <w:rPr>
          <w:rFonts w:ascii="Times New Roman" w:hAnsi="Times New Roman"/>
          <w:color w:val="000000"/>
          <w:sz w:val="20"/>
        </w:rPr>
        <w:t>(xiii)  requires payments of cash by the Company, any of its Subsidiaries or any of the Affiliated Professional Entities in excess of (x) $1,000,000 in any twelve (12)-month period or (y) $5,000,000 over the term of such Contract, other than any Contract that can be terminated by the Company, any of its Subsidiaries or any of the Affiliated Professional Entities on less than 120 days’ notice without payment by the Company, any of its Subsidiaries or any of the Affiliated Professional Entities of any material penalty.</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(b)  Except with respect to any Contract that has expired in accordance with its terms or any Contract that has been terminated after the date of this Agreement in accordance with its terms (other than due to a breach of such Contract), (i) subject to the Bankruptcy and Equity Exception, each Material Contract is valid and binding on the Company, any of its Subsidiaries or any of the Affiliated Professional Entities to the extent such Person is a party thereto, as applicable, and to the Knowledge of the Company, each other party thereto, and is in full force and effect, except where the failure to be valid, binding or in full force and effect would not, individually or in the aggregate, have a Material Adverse Effect, (ii) the Company, each of its Subsidiaries and each of the Affiliated Professional Entities and, to the Knowledge of the Company, any other party thereto have performed all obligations required to be performed by each such Person under, and is not in default under or in breach of, each Material Contract, except where such nonperformance, default or breach would not, individually or in the aggregate, have a Material Adverse Effect, (iii) neither the Company nor any of its Subsidiaries nor any of the Affiliated Professional Entities has received written notice of the existence of any breach or default on the part of the Company, any of its Subsidiaries or any of the Affiliated Professional Entities under any Material Contract and, to the Knowledge of the Company, no event or condition has occurred or is reasonably expected to occur that, with or without notice or lapse of time or both, would constitute or result in such a breach or default, except where such breach or default would not, individually or in the aggregate, have a Material Adverse Effect and (iv) to the Knowledge of the Company, no counterparty under any Material Contract is in breach or default thereof, nor has any event or condition occurred or is existing which, with or without notice or lapse of time or both, would constitute or result in such a breach or default, except as would not, individually or in the aggregate, have a Material Adverse Effect.</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(c)  As of the date hereof, the Company has made available to Parent true, correct and complete copies of the Material Contracts.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33</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3.17.  </w:t>
      </w:r>
      <w:r>
        <w:rPr>
          <w:rFonts w:ascii="Times New Roman" w:hAnsi="Times New Roman"/>
          <w:color w:val="000000"/>
          <w:sz w:val="20"/>
          <w:u w:val="single"/>
        </w:rPr>
        <w:t>Insurance</w:t>
      </w:r>
      <w:r>
        <w:rPr>
          <w:rFonts w:ascii="Times New Roman" w:hAnsi="Times New Roman"/>
          <w:color w:val="000000"/>
          <w:sz w:val="20"/>
        </w:rPr>
        <w:t>.  Except as would not, individually or in the aggregate, have a Material Adverse Effect, (a) the Company and its Subsidiaries and the Affiliated Professional Entities own or hold policies of insurance, or are self-insured, in amounts providing reasonably adequate coverage against all risks customarily insured against by companies in similar lines of business as the Company and its Subsidiaries and the Affiliated Professional Entities, (b) all such insurance policies are in full force and effect except for any expiration thereof in accordance with the terms thereof and all premiums and other payments due and payable on such insurance policies have been paid by the Company and its Subsidiaries and the Affiliated Professional Entities, (c) as of the date of this Agreement, no written notice of cancelation or modification has been received other than in connection with renewals in the ordinary course of business and (d) there is no existing default or event which, with the giving of notice or lapse of time or both, would constitute a default by any insured under such insurance policies.  To the Knowledge of the Company, there are no outstanding material claims under any of the Company’s and its Subsidiaries’ and the Affiliated Professional Entities’ insurance policies for which coverage has been denied or disputed by the applicable insurance carrier or for which a carrier has provided a notice of reservation of rights.</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3.18.  </w:t>
      </w:r>
      <w:r>
        <w:rPr>
          <w:rFonts w:ascii="Times New Roman" w:hAnsi="Times New Roman"/>
          <w:color w:val="000000"/>
          <w:sz w:val="20"/>
          <w:u w:val="single"/>
        </w:rPr>
        <w:t>Compliance with Healthcare Laws</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(a)  The Company, each of its Subsidiaries and each of the Affiliated Professional Entity is, and has been since January 1, 2024, in compliance with all Healthcare Laws and Third-Party Payor Program rules, except as would not, individually or in the aggregate, have a Material Adverse Effect.  Except as would not, individually or in the aggregate, have a Material Adverse Effect, no Action has been filed, commenced or, to the Company’s Knowledge, threatened against the Company, any of its Subsidiaries or any of the Affiliated Professional Entities alleging any failure to comply with any Healthcare Law and neither the Company nor any of its Subsidiaries nor any of the Affiliated Professional Entities has received written notice from any Governmental Authority relating to any actual or alleged violation of, default under, noncompliance with, or complaint to or investigation or inquiry or audit by any Governmental Authority with respect to, any Healthcare Laws.  Except as would not, individually or in the aggregate, have a Material Adverse Effect, neither the Company nor any of its Subsidiaries nor any of the Affiliated Professional Entities has received written notice from any Governmental Authority of, and to the Company’s Knowledge, there are no, pending, active or threatened Actions, complaints, investigations, audits or inquiries pertaining to the Company, any of its Subsidiaries or any of the Affiliated Professional Entities with respect to any Healthcare Laws prohibiting, governing, regulating or relating to fee-splitting, self-referrals or payment or receipt of kickbacks in return for or to induce referrals.</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Neither the Company nor any of its Subsidiaries nor any of the Affiliated Professional Entities is a party to an individual or corporate integrity agreement, or other similar Contract, in effect as of the date of this Agreement with the Office of Inspector General of the United States Department of Health and Human Services (the “</w:t>
      </w:r>
      <w:r>
        <w:rPr>
          <w:rFonts w:ascii="Times New Roman" w:hAnsi="Times New Roman"/>
          <w:color w:val="000000"/>
          <w:sz w:val="20"/>
          <w:u w:val="single"/>
        </w:rPr>
        <w:t>OIG</w:t>
      </w:r>
      <w:r>
        <w:rPr>
          <w:rFonts w:ascii="Times New Roman" w:hAnsi="Times New Roman"/>
          <w:color w:val="000000"/>
          <w:sz w:val="20"/>
        </w:rPr>
        <w:t>”).  Since January 1, 2024, neither the Company nor any of its Subsidiaries nor any of the Affiliated Professional Entities has made any self-disclosure to any Governmental Authority for any violation of Healthcare Laws, including any voluntary disclosure to OIG pursuant to the OIG’s self-disclosure protocol.</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34</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(c)  Except as would not, individually or in the aggregate, have a Material Adverse Effect, since January 1, 2024, each of the Company, each of its Subsidiaries and each of the Affiliated Professional Entities has (i) prepared and timely filed all reports and billing records required to be filed with respect to each Third-Party Payor Program, (ii) paid all known and undisputed refunds, overpayments, discounts and adjustments due with respect to any such report or billing and (iii) not been audited or examined by any Third-Party Payor Program, other than routine additional document requests in the ordinary course of business.  The Company, its Subsidiaries and the Affiliated Professional Entities collect copayments, deductibles and other patient financial responsibilities in material compliance with applicable Healthcare Laws.  There is no pending or, to the Knowledge of the Company, threatened audit or investigation by any Third-Party Payor Program with respect to the Company’s, any of its Subsidiaries’ or any of the Affiliated Professional Entities’ billing practices, other than routine review and discussion regarding reimbursement claims.  Except as would not, individually or in the aggregate, have a Material Adverse Effect, since January 1, 2024, to the extent that the Company, any of its Subsidiaries or any of the Affiliated Professional Entities has identified any overpayments from any Federal Health Care Program, the Company, such applicable Subsidiary or such applicable Affiliated Professional Entity has notified the applicable Governmental Authority and returned such overpayments within the timeframe required by applicable Healthcare Laws.</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(d)  The Company and its Subsidiaries and the Affiliated Professional Entities are accredited by the accreditation organizations identified on Section 3.18(d) of the Company Disclosure Letter.  Since January 1, 2024, no accreditation organization has given written notice to the Company or any of its Subsidiaries or any of the Affiliated Professional Entities, as applicable, of, or to the Knowledge of the Company threatened, any revocation, suspension or restriction of any such accreditation.</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(e)  Except as would not, individually or in the aggregate, have a Material Adverse Effect, the Company, its Subsidiaries and the Affiliated Professional Entities, with respect to their respective businesses, control persons, Healthcare Professionals (as defined below) and authorized representatives, in each case, acting on behalf of the Company, its Subsidiaries or the Affiliated Professional Entities, as applicable, are currently operating and, since January 1, 2024, have operated in compliance with the federal health care program anti-kickback statute (42 U.S.C. § 1320a-7b, </w:t>
      </w:r>
      <w:r>
        <w:rPr>
          <w:rFonts w:ascii="Times New Roman" w:hAnsi="Times New Roman"/>
          <w:i/>
          <w:color w:val="000000"/>
          <w:sz w:val="20"/>
        </w:rPr>
        <w:t>et seq.</w:t>
      </w:r>
      <w:r>
        <w:rPr>
          <w:rFonts w:ascii="Times New Roman" w:hAnsi="Times New Roman"/>
          <w:color w:val="000000"/>
          <w:sz w:val="20"/>
        </w:rPr>
        <w:t xml:space="preserve"> and its implementing regulations), the federal physician self-referral law (commonly known as the Stark Law) (42 U.S.C. § 1395nn, </w:t>
      </w:r>
      <w:r>
        <w:rPr>
          <w:rFonts w:ascii="Times New Roman" w:hAnsi="Times New Roman"/>
          <w:i/>
          <w:color w:val="000000"/>
          <w:sz w:val="20"/>
        </w:rPr>
        <w:t>et seq.</w:t>
      </w:r>
      <w:r>
        <w:rPr>
          <w:rFonts w:ascii="Times New Roman" w:hAnsi="Times New Roman"/>
          <w:color w:val="000000"/>
          <w:sz w:val="20"/>
        </w:rPr>
        <w:t>, and its implementing regulations), Eliminating Kickbacks in Recovery Act (18 U.S.C. § 220) and all other applicable Laws with respect to direct and indirect compensation arrangements, ownership interests or other relationships between such Person and a patient, physician, Third-Party Payor Program or other Person in a position to refer, recommend or arrange for the referral of patients or other health care business (a “</w:t>
      </w:r>
      <w:r>
        <w:rPr>
          <w:rFonts w:ascii="Times New Roman" w:hAnsi="Times New Roman"/>
          <w:color w:val="000000"/>
          <w:sz w:val="20"/>
          <w:u w:val="single"/>
        </w:rPr>
        <w:t>Referral Source</w:t>
      </w:r>
      <w:r>
        <w:rPr>
          <w:rFonts w:ascii="Times New Roman" w:hAnsi="Times New Roman"/>
          <w:color w:val="000000"/>
          <w:sz w:val="20"/>
        </w:rPr>
        <w:t>”) or to whom such Person refers, recommends or arranges for the referral of patients or other health care business (a “</w:t>
      </w:r>
      <w:r>
        <w:rPr>
          <w:rFonts w:ascii="Times New Roman" w:hAnsi="Times New Roman"/>
          <w:color w:val="000000"/>
          <w:sz w:val="20"/>
          <w:u w:val="single"/>
        </w:rPr>
        <w:t>Referral Recipient</w:t>
      </w:r>
      <w:r>
        <w:rPr>
          <w:rFonts w:ascii="Times New Roman" w:hAnsi="Times New Roman"/>
          <w:color w:val="000000"/>
          <w:sz w:val="20"/>
        </w:rPr>
        <w:t>”).  Except as would not, individually or in the aggregate, have a Material Adverse Effect, since January 1, 2024, neither the Company nor any of its Subsidiaries nor any of the Affiliated Professional Entities nor, to the Knowledge of the Company, any of their authorized representatives acting on behalf of the Company, its Subsidiaries or the Affiliated Professional Entities, as applicable, has, directly or indirectly, (i) offered or paid any remuneration (in cash or in kind) to or made any financial arrangements with any Referral Source to obtain any patient referrals or other business or payments from any such Person, (ii) received or solicited any remuneration (in cash or in kind) from or made any financial arrangements with any Referral Recipient to make or deliver any patient or other health care business referrals, (iii) given or agreed to give any gift or gratuitous payment (in cash or in kind) to any such Referral Source or (iv) made or agreed to make any illegal contribution, gift or gratuitous payment (whether in money, property or services) to, or for the private use of, any Governmental Authority or any government official.</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35</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(f)  Except as would not, individually or in the aggregate, have a Material Adverse Effect, since January 1, 2024, none of the Company, its Subsidiaries, the Affiliated Professional Entities or any of their respective officers, directors, employees, contractors, agents or other representatives: (i) has been convicted of, charged with or entered into any settlement agreement with any Governmental Authority to avoid conviction of, any violation of any Healthcare Laws; (ii) has been excluded, suspended, debarred or proposed for debarment from participation, has received a written notice of their exclusion, suspension or debarment from participation, has been threatened in writing with exclusion, suspension or debarment from participation or is otherwise ineligible to participate in Third-Party Payor Programs; or (iii) has been convicted of, or entered into any settlement agreement with any Governmental Authority to avoid conviction of, any criminal offense relating to the delivery of any item or service under a Third-Party Payor Program or had a civil monetary penalty assessed against them under Section 1128A of the Social Security Act or any regulations promulgated thereunder, in the case of each of </w:t>
      </w:r>
      <w:r>
        <w:rPr>
          <w:rFonts w:ascii="Times New Roman" w:hAnsi="Times New Roman"/>
          <w:color w:val="000000"/>
          <w:sz w:val="20"/>
          <w:u w:val="single"/>
        </w:rPr>
        <w:t>clauses (i)</w:t>
      </w:r>
      <w:r>
        <w:rPr>
          <w:rFonts w:ascii="Times New Roman" w:hAnsi="Times New Roman"/>
          <w:color w:val="000000"/>
          <w:sz w:val="20"/>
        </w:rPr>
        <w:t xml:space="preserve"> through </w:t>
      </w:r>
      <w:r>
        <w:rPr>
          <w:rFonts w:ascii="Times New Roman" w:hAnsi="Times New Roman"/>
          <w:color w:val="000000"/>
          <w:sz w:val="20"/>
          <w:u w:val="single"/>
        </w:rPr>
        <w:t>(iii)</w:t>
      </w:r>
      <w:r>
        <w:rPr>
          <w:rFonts w:ascii="Times New Roman" w:hAnsi="Times New Roman"/>
          <w:color w:val="000000"/>
          <w:sz w:val="20"/>
        </w:rPr>
        <w:t>, related to the Company’s, its Subsidiaries’ and the Affiliated Professional Entities’ businesses.</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(g)  To the Knowledge of the Company, since January 1, 2024, each healthcare professional employed by, or under contract with, the Company, any of its Subsidiaries or any of the Affiliated Professional Entities (each, a “</w:t>
      </w:r>
      <w:r>
        <w:rPr>
          <w:rFonts w:ascii="Times New Roman" w:hAnsi="Times New Roman"/>
          <w:color w:val="000000"/>
          <w:sz w:val="20"/>
          <w:u w:val="single"/>
        </w:rPr>
        <w:t>Healthcare Professional</w:t>
      </w:r>
      <w:r>
        <w:rPr>
          <w:rFonts w:ascii="Times New Roman" w:hAnsi="Times New Roman"/>
          <w:color w:val="000000"/>
          <w:sz w:val="20"/>
        </w:rPr>
        <w:t xml:space="preserve">”): (i) has held all required credentials, privileges, permits, licenses or other authorizations or certifications in each jurisdiction where such professionals were or are providing such services for or on behalf of the Company, any of its Subsidiaries or any of the Affiliated Professional Entities and such credentials, privileges, permits, licenses or other authorizations or certifications have not been suspended, revoked or restricted in any manner; and (ii) has complied with all Healthcare Laws in connection with the business of the Company, its Subsidiaries and the Affiliated Professional Entities, except in the case of each of </w:t>
      </w:r>
      <w:r>
        <w:rPr>
          <w:rFonts w:ascii="Times New Roman" w:hAnsi="Times New Roman"/>
          <w:color w:val="000000"/>
          <w:sz w:val="20"/>
          <w:u w:val="single"/>
        </w:rPr>
        <w:t>clauses (i)</w:t>
      </w:r>
      <w:r>
        <w:rPr>
          <w:rFonts w:ascii="Times New Roman" w:hAnsi="Times New Roman"/>
          <w:color w:val="000000"/>
          <w:sz w:val="20"/>
        </w:rPr>
        <w:t xml:space="preserve"> and </w:t>
      </w:r>
      <w:r>
        <w:rPr>
          <w:rFonts w:ascii="Times New Roman" w:hAnsi="Times New Roman"/>
          <w:color w:val="000000"/>
          <w:sz w:val="20"/>
          <w:u w:val="single"/>
        </w:rPr>
        <w:t>(ii)</w:t>
      </w:r>
      <w:r>
        <w:rPr>
          <w:rFonts w:ascii="Times New Roman" w:hAnsi="Times New Roman"/>
          <w:color w:val="000000"/>
          <w:sz w:val="20"/>
        </w:rPr>
        <w:t>, where failure to hold such authorizations or failure to comply, respectively, would not, individually or in the aggregate, have a Material Adverse Effect.  To the Company’s Knowledge, since January 1, 2024, neither the Company nor any of its Subsidiaries nor any of the Affiliated Professional Entities have received any written communication from any Governmental Authority regarding any material violation of any Healthcare Law by any Healthcare Professional.</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(h)  Neither the Company nor any of its Subsidiaries nor any of the Affiliated Professional Entities (i) maintains or stores any controlled substances on its premises or (ii) prescribes any controlled substance listed on any Drug Enforcement Agency schedule.</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(i)  Each Corporate Practice Document is valid and legally binding and the Company and its Subsidiaries maintain Corporate Practice Documents with each Affiliated Professional Entity and its respective equityholder.  Since January 1, 2024, no party to a Corporate Practice Document has materially breached any Corporate Practice Document.  All amounts paid between any party to a Corporate Practice Document reflect the compensation structures set forth in the Corporate Practice Documents, and no such compensation constitutes impermissible fee-splitting under applicable Law.  To the Knowledge of the Company, as of the date of this Agreement, no equityholder of any of the Affiliated Professional Entities has requested to disassociate in any manner or withdraw from any of the Affiliated Professional Entities.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36</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3.19.  </w:t>
      </w:r>
      <w:r>
        <w:rPr>
          <w:rFonts w:ascii="Times New Roman" w:hAnsi="Times New Roman"/>
          <w:color w:val="000000"/>
          <w:sz w:val="20"/>
          <w:u w:val="single"/>
        </w:rPr>
        <w:t>No Rights Agreement; Anti-Takeover Provisions</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(a)  As of the date hereof, neither the Company nor any of its Subsidiaries is a party to a stockholder rights agreement, “poison pill” or similar anti-takeover agreement or plan.</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(b)  Assuming the accuracy of the representations and warranties set forth in </w:t>
      </w:r>
      <w:r>
        <w:rPr>
          <w:rFonts w:ascii="Times New Roman" w:hAnsi="Times New Roman"/>
          <w:color w:val="000000"/>
          <w:sz w:val="20"/>
          <w:u w:val="single"/>
        </w:rPr>
        <w:t>Section 4.10</w:t>
      </w:r>
      <w:r>
        <w:rPr>
          <w:rFonts w:ascii="Times New Roman" w:hAnsi="Times New Roman"/>
          <w:color w:val="000000"/>
          <w:sz w:val="20"/>
        </w:rPr>
        <w:t xml:space="preserve">, as a result of the approval by the Board of Directors of the Company referred to in </w:t>
      </w:r>
      <w:r>
        <w:rPr>
          <w:rFonts w:ascii="Times New Roman" w:hAnsi="Times New Roman"/>
          <w:color w:val="000000"/>
          <w:sz w:val="20"/>
          <w:u w:val="single"/>
        </w:rPr>
        <w:t>Section 3.03(b)</w:t>
      </w:r>
      <w:r>
        <w:rPr>
          <w:rFonts w:ascii="Times New Roman" w:hAnsi="Times New Roman"/>
          <w:color w:val="000000"/>
          <w:sz w:val="20"/>
        </w:rPr>
        <w:t>, no “business combination,” “control share acquisition,” “fair price,” “moratorium” or other anti-takeover Law (each, a “</w:t>
      </w:r>
      <w:r>
        <w:rPr>
          <w:rFonts w:ascii="Times New Roman" w:hAnsi="Times New Roman"/>
          <w:color w:val="000000"/>
          <w:sz w:val="20"/>
          <w:u w:val="single"/>
        </w:rPr>
        <w:t>Takeover Law</w:t>
      </w:r>
      <w:r>
        <w:rPr>
          <w:rFonts w:ascii="Times New Roman" w:hAnsi="Times New Roman"/>
          <w:color w:val="000000"/>
          <w:sz w:val="20"/>
        </w:rPr>
        <w:t>”) applies or will apply to the Company pursuant to this Agreement or the Transactions.</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3.20.  </w:t>
      </w:r>
      <w:r>
        <w:rPr>
          <w:rFonts w:ascii="Times New Roman" w:hAnsi="Times New Roman"/>
          <w:color w:val="000000"/>
          <w:sz w:val="20"/>
          <w:u w:val="single"/>
        </w:rPr>
        <w:t>Opinion of Financial Advisor</w:t>
      </w:r>
      <w:r>
        <w:rPr>
          <w:rFonts w:ascii="Times New Roman" w:hAnsi="Times New Roman"/>
          <w:color w:val="000000"/>
          <w:sz w:val="20"/>
        </w:rPr>
        <w:t>.  The Board of Directors of the Company has received the opinion of Wells Fargo Securities, LLC (“</w:t>
      </w:r>
      <w:r>
        <w:rPr>
          <w:rFonts w:ascii="Times New Roman" w:hAnsi="Times New Roman"/>
          <w:color w:val="000000"/>
          <w:sz w:val="20"/>
          <w:u w:val="single"/>
        </w:rPr>
        <w:t>Wells Fargo</w:t>
      </w:r>
      <w:r>
        <w:rPr>
          <w:rFonts w:ascii="Times New Roman" w:hAnsi="Times New Roman"/>
          <w:color w:val="000000"/>
          <w:sz w:val="20"/>
        </w:rPr>
        <w:t>”) to the effect that, as of the date of such opinion and based upon and subject to the assumptions made, procedures followed, matters considered, qualifications and limitations on review set forth therein, the Merger Consideration to be paid to the holders of shares of Company Common Stock, other than (x) shares of Company Common Stock (i) owned by the Company or (ii) held by Parent or Merger Sub and (y) Appraisal Shares, in the Merger, is fair from a financial point of view to such holders.  It is agreed and understood that such opinion is for the benefit of the Board of Directors of the Company and may not be relied on by Parent or Merger Sub.</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3.21.  </w:t>
      </w:r>
      <w:r>
        <w:rPr>
          <w:rFonts w:ascii="Times New Roman" w:hAnsi="Times New Roman"/>
          <w:color w:val="000000"/>
          <w:sz w:val="20"/>
          <w:u w:val="single"/>
        </w:rPr>
        <w:t>Brokers and Other Advisors</w:t>
      </w:r>
      <w:r>
        <w:rPr>
          <w:rFonts w:ascii="Times New Roman" w:hAnsi="Times New Roman"/>
          <w:color w:val="000000"/>
          <w:sz w:val="20"/>
        </w:rPr>
        <w:t>.  Except for Wells Fargo, the fees and expenses of which will be paid by the Company at or prior to Closing, no broker, investment banker, financial advisor or other Person is entitled to any broker’s, finder’s, financial advisor’s or other similar fee or commission, in connection with the Transactions based upon arrangements made by or on behalf of the Company or any of its Subsidiaries or any of the Affiliated Professional Entities.</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3.22.  </w:t>
      </w:r>
      <w:r>
        <w:rPr>
          <w:rFonts w:ascii="Times New Roman" w:hAnsi="Times New Roman"/>
          <w:color w:val="000000"/>
          <w:sz w:val="20"/>
          <w:u w:val="single"/>
        </w:rPr>
        <w:t>Affiliate Transactions</w:t>
      </w:r>
      <w:r>
        <w:rPr>
          <w:rFonts w:ascii="Times New Roman" w:hAnsi="Times New Roman"/>
          <w:color w:val="000000"/>
          <w:sz w:val="20"/>
        </w:rPr>
        <w:t>.  Other than any Company Plan and the Corporate Practice Documents, no present officer or director of the Company or any of its Subsidiaries or any of the Affiliated Professional Entities, Person owning 5% or more of the Company Common Stock or family member of any such natural Person, (a) is a party to any Contract with, or binding upon, the Company, any of its Subsidiaries or any of the Affiliated Professional Entities or any of their respective properties or assets (other than the Corporate Practice Documents), (b) has any material interest in any material property used by the Company, any of its Subsidiaries or any of the Affiliated Professional Entities or (c), since January 1, 2024, has engaged in any material transaction with the Company or any of its Subsidiaries  or any of the Affiliated Professional Entities that would be required to be disclosed under Item 404 under Regulation S-K under the Securities Act (such transaction, an “</w:t>
      </w:r>
      <w:r>
        <w:rPr>
          <w:rFonts w:ascii="Times New Roman" w:hAnsi="Times New Roman"/>
          <w:color w:val="000000"/>
          <w:sz w:val="20"/>
          <w:u w:val="single"/>
        </w:rPr>
        <w:t>Affiliate Transaction</w:t>
      </w:r>
      <w:r>
        <w:rPr>
          <w:rFonts w:ascii="Times New Roman" w:hAnsi="Times New Roman"/>
          <w:color w:val="000000"/>
          <w:sz w:val="20"/>
        </w:rPr>
        <w:t xml:space="preserve">”) and, in the case of each of </w:t>
      </w:r>
      <w:r>
        <w:rPr>
          <w:rFonts w:ascii="Times New Roman" w:hAnsi="Times New Roman"/>
          <w:color w:val="000000"/>
          <w:sz w:val="20"/>
          <w:u w:val="single"/>
        </w:rPr>
        <w:t>clauses (a)</w:t>
      </w:r>
      <w:r>
        <w:rPr>
          <w:rFonts w:ascii="Times New Roman" w:hAnsi="Times New Roman"/>
          <w:color w:val="000000"/>
          <w:sz w:val="20"/>
        </w:rPr>
        <w:t xml:space="preserve"> through </w:t>
      </w:r>
      <w:r>
        <w:rPr>
          <w:rFonts w:ascii="Times New Roman" w:hAnsi="Times New Roman"/>
          <w:color w:val="000000"/>
          <w:sz w:val="20"/>
          <w:u w:val="single"/>
        </w:rPr>
        <w:t>(c)</w:t>
      </w:r>
      <w:r>
        <w:rPr>
          <w:rFonts w:ascii="Times New Roman" w:hAnsi="Times New Roman"/>
          <w:color w:val="000000"/>
          <w:sz w:val="20"/>
        </w:rPr>
        <w:t>, that has not been so disclosed in the Filed SEC Documents.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37</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3.23.  </w:t>
      </w:r>
      <w:r>
        <w:rPr>
          <w:rFonts w:ascii="Times New Roman" w:hAnsi="Times New Roman"/>
          <w:color w:val="000000"/>
          <w:sz w:val="20"/>
          <w:u w:val="single"/>
        </w:rPr>
        <w:t>No Other Representations or Warranties of Parent or Merger Sub</w:t>
      </w:r>
      <w:r>
        <w:rPr>
          <w:rFonts w:ascii="Times New Roman" w:hAnsi="Times New Roman"/>
          <w:color w:val="000000"/>
          <w:sz w:val="20"/>
        </w:rPr>
        <w:t xml:space="preserve">.  Except for the representations and warranties in </w:t>
      </w:r>
      <w:r>
        <w:rPr>
          <w:rFonts w:ascii="Times New Roman" w:hAnsi="Times New Roman"/>
          <w:color w:val="000000"/>
          <w:sz w:val="20"/>
          <w:u w:val="single"/>
        </w:rPr>
        <w:t>Article IV</w:t>
      </w:r>
      <w:r>
        <w:rPr>
          <w:rFonts w:ascii="Times New Roman" w:hAnsi="Times New Roman"/>
          <w:color w:val="000000"/>
          <w:sz w:val="20"/>
        </w:rPr>
        <w:t xml:space="preserve"> or in any certificate or agreement delivered pursuant to this Agreement, the Company (for itself and on behalf of its Affiliates and Representatives) acknowledges that neither Parent nor Merger Sub nor any other Person has made or is making, and each of the Company and its Affiliates and their respective Representatives have not relied on and are not relying on, any other express or implied representation or warranty with respect to Parent or Merger Sub or their respective businesses, operations, properties, assets, liabilities, condition (financial or otherwise) or prospects, or any estimates, projections, forecasts and other forward-looking information or business and strategic plan information regarding Parent or Merger Sub, notwithstanding the delivery or disclosure to the Company or any of its Affiliates or their respective Representatives of any documentation, forecasts or other information (in any form or through any medium) with respect to any one or more of the foregoing or any oral, written, video, electronic or other information developed by the Company or any of its Affiliates or their respective Representatives.  The Company hereby acknowledges (for itself and on behalf of its Affiliates and Representatives) that the Company has conducted, to its satisfaction, its own independent investigation of the business, operations, assets and financial condition of Parent and Merger Sub and, in making its determination to proceed with the Transactions, the Company and its Affiliates and their respective Representatives have relied on the results of their own independent investigation and the representations and warranties set forth in </w:t>
      </w:r>
      <w:r>
        <w:rPr>
          <w:rFonts w:ascii="Times New Roman" w:hAnsi="Times New Roman"/>
          <w:color w:val="000000"/>
          <w:sz w:val="20"/>
          <w:u w:val="single"/>
        </w:rPr>
        <w:t>Article IV</w:t>
      </w:r>
      <w:r>
        <w:rPr>
          <w:rFonts w:ascii="Times New Roman" w:hAnsi="Times New Roman"/>
          <w:color w:val="000000"/>
          <w:sz w:val="20"/>
        </w:rPr>
        <w:t xml:space="preserve"> or in any certificate or agreement delivered pursuant to this Agreement.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ARTICLE IV</w:t>
        <w:br/>
        <w:br/>
      </w:r>
      <w:r>
        <w:rPr>
          <w:rFonts w:ascii="Times New Roman" w:hAnsi="Times New Roman"/>
          <w:color w:val="000000"/>
          <w:sz w:val="20"/>
          <w:u w:val="single"/>
        </w:rPr>
        <w:t>Representations and Warranties of Parent and Merger Sub</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Parent and Merger Sub jointly and severally represent and warrant to the Company that:</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4.01.  </w:t>
      </w:r>
      <w:r>
        <w:rPr>
          <w:rFonts w:ascii="Times New Roman" w:hAnsi="Times New Roman"/>
          <w:color w:val="000000"/>
          <w:sz w:val="20"/>
          <w:u w:val="single"/>
        </w:rPr>
        <w:t>Organization; Standing</w:t>
      </w:r>
      <w:r>
        <w:rPr>
          <w:rFonts w:ascii="Times New Roman" w:hAnsi="Times New Roman"/>
          <w:color w:val="000000"/>
          <w:sz w:val="20"/>
        </w:rPr>
        <w:t>.  Parent is a corporation duly organized, validly existing and in good standing under the laws of the State of Delaware and Merger Sub is a corporation duly incorporated, validly existing under the laws of the State of Delaware and is in good standing with the Secretary of State of Delaware.  Each of Parent and Merger Sub has all requisite power and authority necessary to carry on its business as it is now being conducted and is duly licensed or qualified to do business and is in good standing in each jurisdiction in which the nature of the business conducted by it or the character or location of the properties and assets owned or leased by it makes such licensing or qualification necessary, except where the failure to be so licensed, qualified or in good standing would not, individually or in the aggregate, have a Parent Material Adverse Effect.  Parent has made available to the Company complete and correct copies of Parent’s and Merger Sub’s certificates of incorporation, bylaws or comparable governing documents, as applicable, each as amended to the date of this Agreement.</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4.02.  </w:t>
      </w:r>
      <w:r>
        <w:rPr>
          <w:rFonts w:ascii="Times New Roman" w:hAnsi="Times New Roman"/>
          <w:color w:val="000000"/>
          <w:sz w:val="20"/>
          <w:u w:val="single"/>
        </w:rPr>
        <w:t>Authority; Noncontravention</w:t>
      </w:r>
      <w:r>
        <w:rPr>
          <w:rFonts w:ascii="Times New Roman" w:hAnsi="Times New Roman"/>
          <w:color w:val="000000"/>
          <w:sz w:val="20"/>
        </w:rPr>
        <w: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38</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(a)  Each of Parent and Merger Sub has all necessary power and authority to execute and deliver this Agreement, to perform its obligations hereunder and to consummate the Transactions.  The Board of Directors of Parent has unanimously adopted resolutions approving the execution, delivery and performance by Parent of this Agreement and the consummation of the Transactions, which resolutions have not been subsequently rescinded, modified or withdrawn.  The Board of Directors of Merger Sub has unanimously adopted resolutions (i) approving the execution, delivery and performance by Merger Sub of this Agreement and the consummation by Merger Sub of the Transactions, (ii) declaring that the Merger is advisable and (iii) directing that this Agreement be submitted for consideration at a meeting or by unanimous written consent of Merger Sub’s stockholder, which resolutions have not been subsequently rescinded, modified or withdrawn.  No vote of holders of capital stock of Parent is necessary to approve this Agreement or the consummation by Parent and Merger Sub of the Merger and the other Transactions.  Parent, as the sole stockholder of Merger Sub, will approve this Agreement and the Transactions (which approval shall be provided for by the written consent of Parent) immediately following the execution and delivery of this Agreement.  Except as expressly set forth in this </w:t>
      </w:r>
      <w:r>
        <w:rPr>
          <w:rFonts w:ascii="Times New Roman" w:hAnsi="Times New Roman"/>
          <w:color w:val="000000"/>
          <w:sz w:val="20"/>
          <w:u w:val="single"/>
        </w:rPr>
        <w:t>Section 4.02(a)</w:t>
      </w:r>
      <w:r>
        <w:rPr>
          <w:rFonts w:ascii="Times New Roman" w:hAnsi="Times New Roman"/>
          <w:color w:val="000000"/>
          <w:sz w:val="20"/>
        </w:rPr>
        <w:t>, no other corporate action (including any stockholder vote or other action) on the part of Parent or Merger Sub is necessary to authorize the execution, delivery and performance by Parent and Merger Sub of this Agreement and the consummation by Parent and Merger Sub of the Transactions.  This Agreement has been duly executed and delivered by Parent and Merger Sub and, assuming due authorization, execution and delivery hereof by the Company, constitutes a legal, valid and binding obligation of each of Parent and Merger Sub, enforceable against each of them in accordance with its terms, subject to the Bankruptcy and Equity Exception.  No Takeover Laws apply or will apply to Parent or Merger Sub pursuant to this Agreement or the Transactions.</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(b)  Neither the execution and delivery of this Agreement by Parent and Merger Sub, nor the consummation by Parent or Merger Sub of the Transactions, nor performance or compliance by Parent or Merger Sub with any of the terms or provisions hereof, will (i) conflict with or violate any provision of the certificate of incorporation, bylaws or other comparable charter or organizational documents of Parent or Merger Sub or (ii) assuming that the consents, approvals, filings, licenses, permits, authorizations, declarations, notifications and registrations referred to in </w:t>
      </w:r>
      <w:r>
        <w:rPr>
          <w:rFonts w:ascii="Times New Roman" w:hAnsi="Times New Roman"/>
          <w:color w:val="000000"/>
          <w:sz w:val="20"/>
          <w:u w:val="single"/>
        </w:rPr>
        <w:t>Section 4.03</w:t>
      </w:r>
      <w:r>
        <w:rPr>
          <w:rFonts w:ascii="Times New Roman" w:hAnsi="Times New Roman"/>
          <w:color w:val="000000"/>
          <w:sz w:val="20"/>
        </w:rPr>
        <w:t xml:space="preserve"> are obtained prior to the Effective Time and the filings referred to in </w:t>
      </w:r>
      <w:r>
        <w:rPr>
          <w:rFonts w:ascii="Times New Roman" w:hAnsi="Times New Roman"/>
          <w:color w:val="000000"/>
          <w:sz w:val="20"/>
          <w:u w:val="single"/>
        </w:rPr>
        <w:t>Section 4.03</w:t>
      </w:r>
      <w:r>
        <w:rPr>
          <w:rFonts w:ascii="Times New Roman" w:hAnsi="Times New Roman"/>
          <w:color w:val="000000"/>
          <w:sz w:val="20"/>
        </w:rPr>
        <w:t xml:space="preserve"> are made and any waiting periods with respect to such filings have terminated or expired prior to the Effective Time, (x) violate any Law or Judgment applicable to Parent, Merger Sub or any of their respective Subsidiaries or (y) violate or constitute a default under any of the terms, conditions or provisions of any Contract to which Parent, Merger Sub or any of their respective Subsidiaries are a party or accelerate Parent’s, Merger Sub’s or any of their respective Subsidiaries’, if applicable, obligations under any such Contract, except, in the case of </w:t>
      </w:r>
      <w:r>
        <w:rPr>
          <w:rFonts w:ascii="Times New Roman" w:hAnsi="Times New Roman"/>
          <w:color w:val="000000"/>
          <w:sz w:val="20"/>
          <w:u w:val="single"/>
        </w:rPr>
        <w:t>clause (ii)</w:t>
      </w:r>
      <w:r>
        <w:rPr>
          <w:rFonts w:ascii="Times New Roman" w:hAnsi="Times New Roman"/>
          <w:color w:val="000000"/>
          <w:sz w:val="20"/>
        </w:rPr>
        <w:t>, as would not, individually or in the aggregate, have a Parent Material Adverse Effect.</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4.03.  </w:t>
      </w:r>
      <w:r>
        <w:rPr>
          <w:rFonts w:ascii="Times New Roman" w:hAnsi="Times New Roman"/>
          <w:color w:val="000000"/>
          <w:sz w:val="20"/>
          <w:u w:val="single"/>
        </w:rPr>
        <w:t>Governmental Approvals</w:t>
      </w:r>
      <w:r>
        <w:rPr>
          <w:rFonts w:ascii="Times New Roman" w:hAnsi="Times New Roman"/>
          <w:color w:val="000000"/>
          <w:sz w:val="20"/>
        </w:rPr>
        <w:t>.  Except for (a) compliance with the applicable requirements of the Exchange Act, including the filing with the SEC of the Proxy Statement, (b) compliance with the rules and regulations of NASDAQ, (c) the filing of the Certificate of Merger with the Secretary of State of Delaware pursuant to the DGCL, (d) filings required under, and compliance with other applicable requirements of, the HSR Act or any other Antitrust Laws, (e) the consents, approvals, orders, authorizations, filings, registrations, notifications or declarations set forth in Section 3.04(e) of the Company Disclosure Letter and (f) compliance with any applicable state securities or blue sky Laws, no consent, approval, license, permit or authorization of, or filing, declaration, notification or registration with, any Governmental Authority is necessary for the execution and delivery of this Agreement by Parent and Merger Sub, the performance by Parent and Merger Sub of its obligations hereunder and the consummation by Parent and Merger Sub of the Transactions, other than such other consents, approvals, licenses, permits, authorizations, filings, declarations, notifications or registrations that, if not obtained, made or given, would not, individually or in the aggregate, have a Parent Material Adverse Effect.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39</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4.04.  </w:t>
      </w:r>
      <w:r>
        <w:rPr>
          <w:rFonts w:ascii="Times New Roman" w:hAnsi="Times New Roman"/>
          <w:color w:val="000000"/>
          <w:sz w:val="20"/>
          <w:u w:val="single"/>
        </w:rPr>
        <w:t>Ownership and Operations of Merger Sub</w:t>
      </w:r>
      <w:r>
        <w:rPr>
          <w:rFonts w:ascii="Times New Roman" w:hAnsi="Times New Roman"/>
          <w:color w:val="000000"/>
          <w:sz w:val="20"/>
        </w:rPr>
        <w:t>.  Parent indirectly, through a wholly-owned Subsidiary of Parent, owns beneficially and of record all of the outstanding shares of Merger Sub, free and clear of all Encumbrances (except for transfer restrictions arising under applicable securities Laws).  Merger Sub was formed solely for the purpose of engaging in the Transactions, has no liabilities or obligations of any nature other than those incident to its formation and pursuant to the Transactions, and prior to the Effective Time, will not have engaged in any other business activities other than those relating to the Transactions.</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4.05.  </w:t>
      </w:r>
      <w:r>
        <w:rPr>
          <w:rFonts w:ascii="Times New Roman" w:hAnsi="Times New Roman"/>
          <w:color w:val="000000"/>
          <w:sz w:val="20"/>
          <w:u w:val="single"/>
        </w:rPr>
        <w:t>Sufficiency</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(a)  Parent has, and at the Closing will have, sufficient funds available to it (including cash, available lines of credit or other sources of immediately available funds) to enable Merger Sub and the Surviving Corporation to pay the aggregate Merger Consideration and any other amounts required to be paid in connection with the consummation of the Transactions (including all amounts payable in respect of Equity-Based Awards and upon any exercise of the Company Warrants under this Agreement) and to pay all related fees and expenses and there is no restriction on the use of such cash for such purposes. Parent has the financial resources and capabilities to fully perform all of its obligations under this Agreement.</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(b)  In no event shall the receipt or availability of any funds or financing by or to Parent or any of its Affiliates or any other financing transaction be a condition to any of the obligations of Parent or Merger Sub hereunder.</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4.06.  </w:t>
      </w:r>
      <w:r>
        <w:rPr>
          <w:rFonts w:ascii="Times New Roman" w:hAnsi="Times New Roman"/>
          <w:color w:val="000000"/>
          <w:sz w:val="20"/>
          <w:u w:val="single"/>
        </w:rPr>
        <w:t>Certain Arrangements</w:t>
      </w:r>
      <w:r>
        <w:rPr>
          <w:rFonts w:ascii="Times New Roman" w:hAnsi="Times New Roman"/>
          <w:color w:val="000000"/>
          <w:sz w:val="20"/>
        </w:rPr>
        <w:t>.  Except for the Voting Agreements and the offer letters set forth in Section 4.06 of the Company Disclosure Letter, as of the date of this Agreement, there are no Contracts or other arrangements or understandings (whether oral or written and whether or not legally binding) or commitments to enter into Contracts or other arrangements or understandings (whether oral or written and whether or not legally binding) between Parent, Merger Sub or any of their Affiliates, on the one hand, and any member of the Company’s management or Board of Directors, on the other hand, that relate in any way to the Company or any of its businesses or Subsidiaries (including those businesses and Subsidiaries following the Closing) or the Transactions (including as to continuing employment or equity roll-over).</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4.07.  </w:t>
      </w:r>
      <w:r>
        <w:rPr>
          <w:rFonts w:ascii="Times New Roman" w:hAnsi="Times New Roman"/>
          <w:color w:val="000000"/>
          <w:sz w:val="20"/>
          <w:u w:val="single"/>
        </w:rPr>
        <w:t>Brokers and Other Advisors</w:t>
      </w:r>
      <w:r>
        <w:rPr>
          <w:rFonts w:ascii="Times New Roman" w:hAnsi="Times New Roman"/>
          <w:color w:val="000000"/>
          <w:sz w:val="20"/>
        </w:rPr>
        <w:t>.  No broker, investment banker, financial advisor or other Person is entitled to any broker’s, finder’s, financial advisor’s or other similar fee or commission, in connection with the Transactions based upon arrangements made by or on behalf of Parent, Merger Sub or any of their respective Subsidiaries, except for Persons, if any, whose fees and expenses will be paid by Parent.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40</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4.08.  </w:t>
      </w:r>
      <w:r>
        <w:rPr>
          <w:rFonts w:ascii="Times New Roman" w:hAnsi="Times New Roman"/>
          <w:color w:val="000000"/>
          <w:sz w:val="20"/>
          <w:u w:val="single"/>
        </w:rPr>
        <w:t>Information Supplied</w:t>
      </w:r>
      <w:r>
        <w:rPr>
          <w:rFonts w:ascii="Times New Roman" w:hAnsi="Times New Roman"/>
          <w:color w:val="000000"/>
          <w:sz w:val="20"/>
        </w:rPr>
        <w:t>.  None of the information supplied or to be supplied by or on behalf of Parent or Merger Sub in writing expressly for inclusion or incorporation by reference in the Proxy Statement (including any amendments or supplements thereto) will, at the time the Proxy Statement (or any amendment or supplement thereto) is first sent or given to the stockholders of the Company or at the time of the Company Stockholders’ Meeting, contain any untrue statement of a material fact or omit to state any material fact required to be stated therein or necessary to make the statements therein, in light of the circumstances under which they are made, not misleading.  Notwithstanding the foregoing, Parent and Merger Sub make no representation or warranty with respect to statements made or incorporated by reference therein based on information supplied by or on behalf of the Company or any Affiliates thereof for inclusion or incorporation by reference in the Proxy Statement.</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4.09.  </w:t>
      </w:r>
      <w:r>
        <w:rPr>
          <w:rFonts w:ascii="Times New Roman" w:hAnsi="Times New Roman"/>
          <w:color w:val="000000"/>
          <w:sz w:val="20"/>
          <w:u w:val="single"/>
        </w:rPr>
        <w:t>Legal Proceedings</w:t>
      </w:r>
      <w:r>
        <w:rPr>
          <w:rFonts w:ascii="Times New Roman" w:hAnsi="Times New Roman"/>
          <w:color w:val="000000"/>
          <w:sz w:val="20"/>
        </w:rPr>
        <w:t xml:space="preserve">.  Except as would not, individually or in the aggregate, have a Parent Material Adverse Effect, as of the date of this Agreement, there is no (a) pending or, to the Knowledge of Parent and Merger Sub, threatened Action against Parent or Merger Sub, any of their respective Affiliates or (b) Judgment imposed upon or affecting Parent or Merger Sub, any of their respective Affiliates, in the case of each of </w:t>
      </w:r>
      <w:r>
        <w:rPr>
          <w:rFonts w:ascii="Times New Roman" w:hAnsi="Times New Roman"/>
          <w:color w:val="000000"/>
          <w:sz w:val="20"/>
          <w:u w:val="single"/>
        </w:rPr>
        <w:t>clauses (a)</w:t>
      </w:r>
      <w:r>
        <w:rPr>
          <w:rFonts w:ascii="Times New Roman" w:hAnsi="Times New Roman"/>
          <w:color w:val="000000"/>
          <w:sz w:val="20"/>
        </w:rPr>
        <w:t xml:space="preserve"> and </w:t>
      </w:r>
      <w:r>
        <w:rPr>
          <w:rFonts w:ascii="Times New Roman" w:hAnsi="Times New Roman"/>
          <w:color w:val="000000"/>
          <w:sz w:val="20"/>
          <w:u w:val="single"/>
        </w:rPr>
        <w:t>(b)</w:t>
      </w:r>
      <w:r>
        <w:rPr>
          <w:rFonts w:ascii="Times New Roman" w:hAnsi="Times New Roman"/>
          <w:color w:val="000000"/>
          <w:sz w:val="20"/>
        </w:rPr>
        <w:t>, by or before any Governmental Authority.</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4.10.  </w:t>
      </w:r>
      <w:r>
        <w:rPr>
          <w:rFonts w:ascii="Times New Roman" w:hAnsi="Times New Roman"/>
          <w:color w:val="000000"/>
          <w:sz w:val="20"/>
          <w:u w:val="single"/>
        </w:rPr>
        <w:t>Ownership of Equity of the Company</w:t>
      </w:r>
      <w:r>
        <w:rPr>
          <w:rFonts w:ascii="Times New Roman" w:hAnsi="Times New Roman"/>
          <w:color w:val="000000"/>
          <w:sz w:val="20"/>
        </w:rPr>
        <w:t>.  Neither Parent nor Merger Sub nor any of their Affiliates own any shares of Company Common Stock or are or have been an “interested stockholder” (as defined in Section 203 of the DGCL) of the Company during the three years prior to the date hereof.</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4.11.  </w:t>
      </w:r>
      <w:r>
        <w:rPr>
          <w:rFonts w:ascii="Times New Roman" w:hAnsi="Times New Roman"/>
          <w:color w:val="000000"/>
          <w:sz w:val="20"/>
          <w:u w:val="single"/>
        </w:rPr>
        <w:t>No Other Company Representations or Warranties</w:t>
      </w:r>
      <w:r>
        <w:rPr>
          <w:rFonts w:ascii="Times New Roman" w:hAnsi="Times New Roman"/>
          <w:color w:val="000000"/>
          <w:sz w:val="20"/>
        </w:rPr>
        <w:t xml:space="preserve">.  Except for the representations and warranties in </w:t>
      </w:r>
      <w:r>
        <w:rPr>
          <w:rFonts w:ascii="Times New Roman" w:hAnsi="Times New Roman"/>
          <w:color w:val="000000"/>
          <w:sz w:val="20"/>
          <w:u w:val="single"/>
        </w:rPr>
        <w:t>Article III</w:t>
      </w:r>
      <w:r>
        <w:rPr>
          <w:rFonts w:ascii="Times New Roman" w:hAnsi="Times New Roman"/>
          <w:color w:val="000000"/>
          <w:sz w:val="20"/>
        </w:rPr>
        <w:t xml:space="preserve"> or in any certificate or agreement delivered pursuant to this Agreement, Parent and Merger Sub (each for itself and on behalf of its Affiliates and Representatives) acknowledge that neither the Company nor any of its Subsidiaries, nor any other Person, have made or are making, and each of Parent, Merger Sub and their Affiliates and respective Representatives have not relied on and are not relying on, any other express or implied representation or warranty with respect to the Company or any of its Subsidiaries or their respective businesses, operations, properties, assets, liabilities, condition (financial or otherwise) or prospects, or any estimates, projections, forecasts and other forward-looking information or business and strategic plan information regarding the Company, its Subsidiaries and the Affiliated Professional Entities, notwithstanding the delivery or disclosure to Parent, Merger Sub or any of their Affiliates or respective Representatives of any documentation, forecasts or other information (in any form or through any medium) with respect to any one or more of the foregoing or any oral, written, video, electronic or other information developed by Parent, Merger Sub or any of their Affiliates or respective Representatives.  Parent and Merger Sub hereby acknowledge (each for itself and on behalf of its Affiliates and Representatives) that they have conducted, to their satisfaction, their own independent investigation of the business, operations, assets and financial condition of the Company and its Subsidiaries and the Affiliated Professional Entities, in making their determination to proceed with the Transactions, each of Parent, Merger Sub and their Affiliates and respective Representatives have relied on the results of their own independent investigation and the representations and warranties set forth in </w:t>
      </w:r>
      <w:r>
        <w:rPr>
          <w:rFonts w:ascii="Times New Roman" w:hAnsi="Times New Roman"/>
          <w:color w:val="000000"/>
          <w:sz w:val="20"/>
          <w:u w:val="single"/>
        </w:rPr>
        <w:t>Article III</w:t>
      </w:r>
      <w:r>
        <w:rPr>
          <w:rFonts w:ascii="Times New Roman" w:hAnsi="Times New Roman"/>
          <w:color w:val="000000"/>
          <w:sz w:val="20"/>
        </w:rPr>
        <w:t xml:space="preserve"> or in any certificate or agreement delivered pursuant to this Agreement.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41</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4.12.  </w:t>
      </w:r>
      <w:r>
        <w:rPr>
          <w:rFonts w:ascii="Times New Roman" w:hAnsi="Times New Roman"/>
          <w:color w:val="000000"/>
          <w:sz w:val="20"/>
          <w:u w:val="single"/>
        </w:rPr>
        <w:t>Non-Reliance on Company Estimates, Projections, Forecasts, Forward-Looking Statements and Business Plans</w:t>
      </w:r>
      <w:r>
        <w:rPr>
          <w:rFonts w:ascii="Times New Roman" w:hAnsi="Times New Roman"/>
          <w:color w:val="000000"/>
          <w:sz w:val="20"/>
        </w:rPr>
        <w:t xml:space="preserve">.  In connection with the due diligence investigation of the Company by Parent and Merger Sub and their Affiliates and respective Representatives, the negotiations of this Agreement or the course of the Transactions, Parent, Merger Sub and their Affiliates and respective Representatives have received and may continue to receive from the Company certain estimates, projections, forecasts and other forward-looking information, as well as certain business and strategic plan information, regarding the Company and its Subsidiaries and their respective businesses and operations.  Parent and Merger Sub hereby acknowledge (each for itself and on behalf of its Affiliates and Representatives) that (a) there are uncertainties inherent in attempting to make such estimates, projections, forecasts and other forward-looking statements, as well as in such business and strategic plans, with which Parent and Merger Sub are familiar, (b) Parent and Merger Sub (each for itself and on behalf of its Affiliates and Representatives) are taking full responsibility for making their own evaluation of the adequacy and accuracy of all estimates, projections, forecasts and other forward-looking information, as well as such business plans, so furnished to them (including the reasonableness of the assumptions underlying such estimates, projections, forecasts, forward-looking information or business plans) and (c) Parent, Merger Sub, their Affiliates and respective Representatives have not relied on such information and will have no claim against the Company or any of its Subsidiaries, or any of their respective Representatives, with respect thereto, except, in the case of this </w:t>
      </w:r>
      <w:r>
        <w:rPr>
          <w:rFonts w:ascii="Times New Roman" w:hAnsi="Times New Roman"/>
          <w:color w:val="000000"/>
          <w:sz w:val="20"/>
          <w:u w:val="single"/>
        </w:rPr>
        <w:t>clause (c)</w:t>
      </w:r>
      <w:r>
        <w:rPr>
          <w:rFonts w:ascii="Times New Roman" w:hAnsi="Times New Roman"/>
          <w:color w:val="000000"/>
          <w:sz w:val="20"/>
        </w:rPr>
        <w:t xml:space="preserve">, for the representations and warranties expressly set forth in </w:t>
      </w:r>
      <w:r>
        <w:rPr>
          <w:rFonts w:ascii="Times New Roman" w:hAnsi="Times New Roman"/>
          <w:color w:val="000000"/>
          <w:sz w:val="20"/>
          <w:u w:val="single"/>
        </w:rPr>
        <w:t>Article III</w:t>
      </w:r>
      <w:r>
        <w:rPr>
          <w:rFonts w:ascii="Times New Roman" w:hAnsi="Times New Roman"/>
          <w:color w:val="000000"/>
          <w:sz w:val="20"/>
        </w:rPr>
        <w:t xml:space="preserve"> or in any certificate or agreement delivered pursuant to this Agreement and any rights hereunder with respect thereto.</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ARTICLE V</w:t>
        <w:br/>
        <w:br/>
      </w:r>
      <w:r>
        <w:rPr>
          <w:rFonts w:ascii="Times New Roman" w:hAnsi="Times New Roman"/>
          <w:color w:val="000000"/>
          <w:sz w:val="20"/>
          <w:u w:val="single"/>
        </w:rPr>
        <w:t>Additional Covenants and Agreements</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5.01.  </w:t>
      </w:r>
      <w:r>
        <w:rPr>
          <w:rFonts w:ascii="Times New Roman" w:hAnsi="Times New Roman"/>
          <w:color w:val="000000"/>
          <w:sz w:val="20"/>
          <w:u w:val="single"/>
        </w:rPr>
        <w:t>Conduct of Business</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(a)  Except as required by applicable Law, Judgment or a Governmental Authority, as expressly required or permitted by this Agreement or as set forth in Section 5.01 of the Company Disclosure Letter, during the period from the date of this Agreement until the Effective Time (or such earlier date on which this Agreement is terminated pursuant to </w:t>
      </w:r>
      <w:r>
        <w:rPr>
          <w:rFonts w:ascii="Times New Roman" w:hAnsi="Times New Roman"/>
          <w:color w:val="000000"/>
          <w:sz w:val="20"/>
          <w:u w:val="single"/>
        </w:rPr>
        <w:t>Article VII</w:t>
      </w:r>
      <w:r>
        <w:rPr>
          <w:rFonts w:ascii="Times New Roman" w:hAnsi="Times New Roman"/>
          <w:color w:val="000000"/>
          <w:sz w:val="20"/>
        </w:rPr>
        <w:t xml:space="preserve">), unless Parent otherwise consents in advance in writing (such consent not to be unreasonably withheld, delayed or conditioned), the Company shall, and shall cause each of its Subsidiaries and shall direct each of the Affiliated Professional Entities to, use reasonable best efforts to carry on its business in all material respects in the ordinary course consistent with past practice and to preserve substantially intact the Company’s, each of its Subsidiaries’ and each of the Affiliated Professional Entities’ (x) current business organizations, (y) material assets, properties, Contracts and Permits and (z) current officers, employees and consultants (other than any terminations for cause or voluntary resignations), and relationships and goodwill with customers, suppliers, licensors, licensees, distributors, contractors, partners, Governmental Authorities and other Persons having material business dealings with the Company, any of its Subsidiaries or any of the Affiliated Professional Entities; </w:t>
      </w:r>
      <w:r>
        <w:rPr>
          <w:rFonts w:ascii="Times New Roman" w:hAnsi="Times New Roman"/>
          <w:color w:val="000000"/>
          <w:sz w:val="20"/>
          <w:u w:val="single"/>
        </w:rPr>
        <w:t>provided</w:t>
      </w:r>
      <w:r>
        <w:rPr>
          <w:rFonts w:ascii="Times New Roman" w:hAnsi="Times New Roman"/>
          <w:color w:val="000000"/>
          <w:sz w:val="20"/>
        </w:rPr>
        <w:t xml:space="preserve"> that no action by the Company, any of its Subsidiaries or any of the Affiliated Professional Entities with respect to matters specifically addressed by </w:t>
      </w:r>
      <w:r>
        <w:rPr>
          <w:rFonts w:ascii="Times New Roman" w:hAnsi="Times New Roman"/>
          <w:color w:val="000000"/>
          <w:sz w:val="20"/>
          <w:u w:val="single"/>
        </w:rPr>
        <w:t>Section 5.01(b)</w:t>
      </w:r>
      <w:r>
        <w:rPr>
          <w:rFonts w:ascii="Times New Roman" w:hAnsi="Times New Roman"/>
          <w:color w:val="000000"/>
          <w:sz w:val="20"/>
        </w:rPr>
        <w:t xml:space="preserve"> shall be deemed to be a breach of this </w:t>
      </w:r>
      <w:r>
        <w:rPr>
          <w:rFonts w:ascii="Times New Roman" w:hAnsi="Times New Roman"/>
          <w:color w:val="000000"/>
          <w:sz w:val="20"/>
          <w:u w:val="single"/>
        </w:rPr>
        <w:t>Section 5.01(a)</w:t>
      </w:r>
      <w:r>
        <w:rPr>
          <w:rFonts w:ascii="Times New Roman" w:hAnsi="Times New Roman"/>
          <w:color w:val="000000"/>
          <w:sz w:val="20"/>
        </w:rPr>
        <w:t xml:space="preserve"> unless such action would constitute a breach of </w:t>
      </w:r>
      <w:r>
        <w:rPr>
          <w:rFonts w:ascii="Times New Roman" w:hAnsi="Times New Roman"/>
          <w:color w:val="000000"/>
          <w:sz w:val="20"/>
          <w:u w:val="single"/>
        </w:rPr>
        <w:t>Section 5.01(b)</w:t>
      </w:r>
      <w:r>
        <w:rPr>
          <w:rFonts w:ascii="Times New Roman" w:hAnsi="Times New Roman"/>
          <w:color w:val="000000"/>
          <w:sz w:val="20"/>
        </w:rPr>
        <w: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42</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(b)  Except as required by applicable Law, Judgment or a Governmental Authority, as expressly required or permitted by this Agreement or as set forth in Section 5.01 of the Company Disclosure Letter, during the period from the date of this Agreement until the Effective Time (or such earlier date on which this Agreement is terminated pursuant to </w:t>
      </w:r>
      <w:r>
        <w:rPr>
          <w:rFonts w:ascii="Times New Roman" w:hAnsi="Times New Roman"/>
          <w:color w:val="000000"/>
          <w:sz w:val="20"/>
          <w:u w:val="single"/>
        </w:rPr>
        <w:t>Section 7.01</w:t>
      </w:r>
      <w:r>
        <w:rPr>
          <w:rFonts w:ascii="Times New Roman" w:hAnsi="Times New Roman"/>
          <w:color w:val="000000"/>
          <w:sz w:val="20"/>
        </w:rPr>
        <w:t>), unless Parent otherwise consents in advance in writing (such consent not to be unreasonably withheld, delayed or conditioned), the Company shall not, shall cause each of its Subsidiaries and shall direct each of the Affiliated Professional Entities not to:</w:t>
      </w:r>
    </w:p>
    <w:p>
      <w:pPr>
        <w:pStyle w:val="TextBody"/>
        <w:bidi w:val="0"/>
        <w:spacing w:before="0" w:after="0"/>
        <w:jc w:val="left"/>
        <w:rPr/>
      </w:pPr>
      <w:r>
        <w:rPr/>
      </w:r>
    </w:p>
    <w:p>
      <w:pPr>
        <w:pStyle w:val="TextBody"/>
        <w:bidi w:val="0"/>
        <w:spacing w:before="0" w:after="0"/>
        <w:ind w:left="720" w:right="0" w:firstLine="1080"/>
        <w:jc w:val="left"/>
        <w:rPr>
          <w:rFonts w:ascii="Times New Roman" w:hAnsi="Times New Roman"/>
          <w:color w:val="000000"/>
          <w:sz w:val="20"/>
        </w:rPr>
      </w:pPr>
      <w:r>
        <w:rPr>
          <w:rFonts w:ascii="Times New Roman" w:hAnsi="Times New Roman"/>
          <w:color w:val="000000"/>
          <w:sz w:val="20"/>
        </w:rPr>
        <w:t xml:space="preserve">(i)  other than transactions solely between or among the Company, its wholly owned Subsidiaries and Affiliated Professional Entities, issue, sell, distribute, assign, transfer, grant or dispose of any shares of its capital stock or other equity or voting interests, or any securities convertible into, or exchangeable or exercisable for, any shares of its capital stock or other equity or voting interests (including any warrants, options, restricted stock units or other rights of any kind to purchase any shares of its capital stock or other equity or voting interests); </w:t>
      </w:r>
      <w:r>
        <w:rPr>
          <w:rFonts w:ascii="Times New Roman" w:hAnsi="Times New Roman"/>
          <w:color w:val="000000"/>
          <w:sz w:val="20"/>
          <w:u w:val="single"/>
        </w:rPr>
        <w:t>provided</w:t>
      </w:r>
      <w:r>
        <w:rPr>
          <w:rFonts w:ascii="Times New Roman" w:hAnsi="Times New Roman"/>
          <w:color w:val="000000"/>
          <w:sz w:val="20"/>
        </w:rPr>
        <w:t xml:space="preserve"> that the Company may issue shares of Company Common Stock (A) upon the settlement of any Equity-Based Awards in the ordinary course of business under the Company Plans in effect on the date of this Agreement or granted after the date of this Agreement not in violation of this Agreement, (B) as required pursuant to the terms of the Equity-Based Awards outstanding as of the date of this Agreement or granted after the date of this Agreement not in violation of this Agreement or (C) in connection with the issuance of Company Common Stock upon any exercise of the Company Warrants;</w:t>
      </w:r>
    </w:p>
    <w:p>
      <w:pPr>
        <w:pStyle w:val="TextBody"/>
        <w:bidi w:val="0"/>
        <w:spacing w:before="0" w:after="0"/>
        <w:jc w:val="left"/>
        <w:rPr/>
      </w:pPr>
      <w:r>
        <w:rPr/>
      </w:r>
    </w:p>
    <w:p>
      <w:pPr>
        <w:pStyle w:val="TextBody"/>
        <w:bidi w:val="0"/>
        <w:spacing w:before="0" w:after="0"/>
        <w:ind w:left="720" w:right="0" w:firstLine="1080"/>
        <w:jc w:val="left"/>
        <w:rPr>
          <w:rFonts w:ascii="Times New Roman" w:hAnsi="Times New Roman"/>
          <w:color w:val="000000"/>
          <w:sz w:val="20"/>
        </w:rPr>
      </w:pPr>
      <w:r>
        <w:rPr>
          <w:rFonts w:ascii="Times New Roman" w:hAnsi="Times New Roman"/>
          <w:color w:val="000000"/>
          <w:sz w:val="20"/>
        </w:rPr>
        <w:t>(ii)  other than transactions solely between or among the Company, its Subsidiaries and the Affiliated Professional Entities, directly or indirectly redeem, purchase or otherwise acquire any shares of the Company’s capital stock or other equity or voting interests, or any securities convertible (whether currently convertible or convertible only after the passage of time or the occurrence of certain events) into, or exchangeable or exercisable for, any shares of the Company’s capital stock or other equity or voting interests (including any warrants, options, restricted stock units or other rights of any kind to purchase any shares of the Company’s capital stock or other equity or voting interests) (other than pursuant to the forfeiture of, withholding of Taxes with respect to or the net settlement of Equity-Based Awards);</w:t>
      </w:r>
    </w:p>
    <w:p>
      <w:pPr>
        <w:pStyle w:val="TextBody"/>
        <w:bidi w:val="0"/>
        <w:spacing w:before="0" w:after="0"/>
        <w:jc w:val="left"/>
        <w:rPr/>
      </w:pPr>
      <w:r>
        <w:rPr/>
      </w:r>
    </w:p>
    <w:p>
      <w:pPr>
        <w:pStyle w:val="TextBody"/>
        <w:bidi w:val="0"/>
        <w:spacing w:before="0" w:after="0"/>
        <w:ind w:left="720" w:right="0" w:firstLine="1080"/>
        <w:jc w:val="left"/>
        <w:rPr>
          <w:rFonts w:ascii="Times New Roman" w:hAnsi="Times New Roman"/>
          <w:color w:val="000000"/>
          <w:sz w:val="20"/>
        </w:rPr>
      </w:pPr>
      <w:r>
        <w:rPr>
          <w:rFonts w:ascii="Times New Roman" w:hAnsi="Times New Roman"/>
          <w:color w:val="000000"/>
          <w:sz w:val="20"/>
        </w:rPr>
        <w:t>(iii)  other than transactions solely between or among the Company, its Subsidiaries and the Affiliated Professional Entities, establish a record date for, authorize, declare, make, set aside for payment or pay any dividend on, or make any other distribution in respect of, any shares of its capital stock or other equity or voting interests;</w:t>
      </w:r>
    </w:p>
    <w:p>
      <w:pPr>
        <w:pStyle w:val="TextBody"/>
        <w:bidi w:val="0"/>
        <w:spacing w:before="0" w:after="0"/>
        <w:jc w:val="left"/>
        <w:rPr/>
      </w:pPr>
      <w:r>
        <w:rPr/>
      </w:r>
    </w:p>
    <w:p>
      <w:pPr>
        <w:pStyle w:val="TextBody"/>
        <w:bidi w:val="0"/>
        <w:spacing w:before="0" w:after="0"/>
        <w:ind w:left="720" w:right="0" w:firstLine="1080"/>
        <w:jc w:val="left"/>
        <w:rPr>
          <w:rFonts w:ascii="Times New Roman" w:hAnsi="Times New Roman"/>
          <w:color w:val="000000"/>
          <w:sz w:val="20"/>
        </w:rPr>
      </w:pPr>
      <w:r>
        <w:rPr>
          <w:rFonts w:ascii="Times New Roman" w:hAnsi="Times New Roman"/>
          <w:color w:val="000000"/>
          <w:sz w:val="20"/>
        </w:rPr>
        <w:t>(iv)  split, combine, subdivide, recapitalize reclassify or effect any similar change in capitalization of any shares of its capital stock or other equity or voting interests, except for any such transaction by a wholly owned Subsidiary of the Company which remains a wholly owned Subsidiary after consummation of such transaction;</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43</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720" w:right="0" w:firstLine="1080"/>
        <w:jc w:val="left"/>
        <w:rPr>
          <w:rFonts w:ascii="Times New Roman" w:hAnsi="Times New Roman"/>
          <w:color w:val="000000"/>
          <w:sz w:val="20"/>
        </w:rPr>
      </w:pPr>
      <w:r>
        <w:rPr>
          <w:rFonts w:ascii="Times New Roman" w:hAnsi="Times New Roman"/>
          <w:color w:val="000000"/>
          <w:sz w:val="20"/>
        </w:rPr>
        <w:t>(v)  incur, assume, endorse or otherwise become liable for any indebtedness or obligations for borrowed money (including any notes, bonds, debentures, letters of credit, bank guarantees, performance bonds and/or other similar contractual obligations), issue, sell, redeem, purchase or otherwise acquire any debt securities or warrants or other rights to acquire any debt securities of the Company or any of its Subsidiaries, guarantee any such indebtedness or obligations or debt securities of another Person or enter into any “keep well” or other agreement to maintain or cause to be maintained any financial statement condition of another Person (collectively, “</w:t>
      </w:r>
      <w:r>
        <w:rPr>
          <w:rFonts w:ascii="Times New Roman" w:hAnsi="Times New Roman"/>
          <w:color w:val="000000"/>
          <w:sz w:val="20"/>
          <w:u w:val="single"/>
        </w:rPr>
        <w:t>Indebtedness</w:t>
      </w:r>
      <w:r>
        <w:rPr>
          <w:rFonts w:ascii="Times New Roman" w:hAnsi="Times New Roman"/>
          <w:color w:val="000000"/>
          <w:sz w:val="20"/>
        </w:rPr>
        <w:t>”), except for (A) intercompany Indebtedness solely between or among the Company, its Subsidiaries and the Affiliated Professional Entities in the ordinary course of business, and (B) letters of credit, bank guarantees, security or performance bonds or similar credit support instruments, overdraft facilities or cash management programs, in each case issued, made, entered into or drawn in the ordinary course of business.</w:t>
      </w:r>
    </w:p>
    <w:p>
      <w:pPr>
        <w:pStyle w:val="TextBody"/>
        <w:bidi w:val="0"/>
        <w:spacing w:before="0" w:after="0"/>
        <w:jc w:val="left"/>
        <w:rPr/>
      </w:pPr>
      <w:r>
        <w:rPr/>
      </w:r>
    </w:p>
    <w:p>
      <w:pPr>
        <w:pStyle w:val="TextBody"/>
        <w:bidi w:val="0"/>
        <w:spacing w:before="0" w:after="0"/>
        <w:ind w:left="720" w:right="0" w:firstLine="1080"/>
        <w:jc w:val="left"/>
        <w:rPr>
          <w:rFonts w:ascii="Times New Roman" w:hAnsi="Times New Roman"/>
          <w:color w:val="000000"/>
          <w:sz w:val="20"/>
        </w:rPr>
      </w:pPr>
      <w:r>
        <w:rPr>
          <w:rFonts w:ascii="Times New Roman" w:hAnsi="Times New Roman"/>
          <w:color w:val="000000"/>
          <w:sz w:val="20"/>
        </w:rPr>
        <w:t>(vi)  enter into any swap or hedging transaction or other derivative agreements, except for (A) any such transaction or agreement entered into in the ordinary course of business, and (B) renewals, extensions or refinancing of any swap or hedging transactions or other derivative agreements existing on the date of this Agreement or permitted to be entered into hereunder;</w:t>
      </w:r>
    </w:p>
    <w:p>
      <w:pPr>
        <w:pStyle w:val="TextBody"/>
        <w:bidi w:val="0"/>
        <w:spacing w:before="0" w:after="0"/>
        <w:jc w:val="left"/>
        <w:rPr/>
      </w:pPr>
      <w:r>
        <w:rPr/>
      </w:r>
    </w:p>
    <w:p>
      <w:pPr>
        <w:pStyle w:val="TextBody"/>
        <w:bidi w:val="0"/>
        <w:spacing w:before="0" w:after="0"/>
        <w:ind w:left="720" w:right="0" w:firstLine="1080"/>
        <w:jc w:val="left"/>
        <w:rPr>
          <w:rFonts w:ascii="Times New Roman" w:hAnsi="Times New Roman"/>
          <w:color w:val="000000"/>
          <w:sz w:val="20"/>
        </w:rPr>
      </w:pPr>
      <w:r>
        <w:rPr>
          <w:rFonts w:ascii="Times New Roman" w:hAnsi="Times New Roman"/>
          <w:color w:val="000000"/>
          <w:sz w:val="20"/>
        </w:rPr>
        <w:t xml:space="preserve">(vii)  make any loans, capital contributions or advances to any Person other than (x) transactions solely between or among the Company, its wholly owned Subsidiaries and the Affiliated Professional Entities, (y) in connection with any acquisition permitted under </w:t>
      </w:r>
      <w:r>
        <w:rPr>
          <w:rFonts w:ascii="Times New Roman" w:hAnsi="Times New Roman"/>
          <w:color w:val="000000"/>
          <w:sz w:val="20"/>
          <w:u w:val="single"/>
        </w:rPr>
        <w:t>Section 5.01(b)(xi)</w:t>
      </w:r>
      <w:r>
        <w:rPr>
          <w:rFonts w:ascii="Times New Roman" w:hAnsi="Times New Roman"/>
          <w:color w:val="000000"/>
          <w:sz w:val="20"/>
        </w:rPr>
        <w:t xml:space="preserve"> or (z) accounts receivable in the ordinary course of business consistent with past practice;</w:t>
      </w:r>
    </w:p>
    <w:p>
      <w:pPr>
        <w:pStyle w:val="TextBody"/>
        <w:bidi w:val="0"/>
        <w:spacing w:before="0" w:after="0"/>
        <w:jc w:val="left"/>
        <w:rPr/>
      </w:pPr>
      <w:r>
        <w:rPr/>
      </w:r>
    </w:p>
    <w:p>
      <w:pPr>
        <w:pStyle w:val="TextBody"/>
        <w:bidi w:val="0"/>
        <w:spacing w:before="0" w:after="0"/>
        <w:ind w:left="720" w:right="0" w:firstLine="1080"/>
        <w:jc w:val="left"/>
        <w:rPr>
          <w:rFonts w:ascii="Times New Roman" w:hAnsi="Times New Roman"/>
          <w:color w:val="000000"/>
          <w:sz w:val="20"/>
        </w:rPr>
      </w:pPr>
      <w:r>
        <w:rPr>
          <w:rFonts w:ascii="Times New Roman" w:hAnsi="Times New Roman"/>
          <w:color w:val="000000"/>
          <w:sz w:val="20"/>
        </w:rPr>
        <w:t>(viii)  sell, dispose, assign, transfer or lease to any Person, in a single transaction or series of related transactions, any of its material properties or assets (excluding Owned Company Intellectual Property), except (A) transfers, sales or leases solely between or among the Company, its wholly owned Subsidiaries and the Affiliated Professional Entities, (B) dispositions of assets that are obsolete, worn out, surplus or no longer used or useful in the conduct of the business of the Company or any of its Subsidiaries, (C) subleases of Leased Real Property and expirations of the Company Leases in accordance with their terms and (D) sales or leases in the ordinary course of business;</w:t>
      </w:r>
    </w:p>
    <w:p>
      <w:pPr>
        <w:pStyle w:val="TextBody"/>
        <w:bidi w:val="0"/>
        <w:spacing w:before="0" w:after="0"/>
        <w:jc w:val="left"/>
        <w:rPr/>
      </w:pPr>
      <w:r>
        <w:rPr/>
      </w:r>
    </w:p>
    <w:p>
      <w:pPr>
        <w:pStyle w:val="TextBody"/>
        <w:bidi w:val="0"/>
        <w:spacing w:before="0" w:after="0"/>
        <w:ind w:left="720" w:right="0" w:firstLine="1080"/>
        <w:jc w:val="left"/>
        <w:rPr>
          <w:rFonts w:ascii="Times New Roman" w:hAnsi="Times New Roman"/>
          <w:color w:val="000000"/>
          <w:sz w:val="20"/>
        </w:rPr>
      </w:pPr>
      <w:r>
        <w:rPr>
          <w:rFonts w:ascii="Times New Roman" w:hAnsi="Times New Roman"/>
          <w:color w:val="000000"/>
          <w:sz w:val="20"/>
        </w:rPr>
        <w:t>(ix)  transfer, assign, convey, sell, lease, license, subject to any Encumbrance (other than a Permitted Encumbrance), cancel, abandon, allow to lapse, or expire, or otherwise dispose of any material Owned Company Intellectual Property, except, in each case, Intellectual Property that, in the Company’s reasonable discretion, should be abandoned or allowed to lapse or expire as part of the Company’s ordinary course of management of its Intellectual Property portfolio consistent with past practice;</w:t>
      </w:r>
    </w:p>
    <w:p>
      <w:pPr>
        <w:pStyle w:val="TextBody"/>
        <w:bidi w:val="0"/>
        <w:spacing w:before="0" w:after="0"/>
        <w:jc w:val="left"/>
        <w:rPr/>
      </w:pPr>
      <w:r>
        <w:rPr/>
      </w:r>
    </w:p>
    <w:p>
      <w:pPr>
        <w:pStyle w:val="TextBody"/>
        <w:bidi w:val="0"/>
        <w:spacing w:before="0" w:after="0"/>
        <w:ind w:left="720" w:right="0" w:firstLine="1080"/>
        <w:jc w:val="left"/>
        <w:rPr>
          <w:rFonts w:ascii="Times New Roman" w:hAnsi="Times New Roman"/>
          <w:color w:val="000000"/>
          <w:sz w:val="20"/>
        </w:rPr>
      </w:pPr>
      <w:r>
        <w:rPr>
          <w:rFonts w:ascii="Times New Roman" w:hAnsi="Times New Roman"/>
          <w:color w:val="000000"/>
          <w:sz w:val="20"/>
        </w:rPr>
        <w:t xml:space="preserve">(x)  grant any Encumbrance (other than a Permitted Encumbrance) on any of its material assets (excluding Owned Company Intellectual Property) other than (A) to secure Indebtedness and other obligations permitted under </w:t>
      </w:r>
      <w:r>
        <w:rPr>
          <w:rFonts w:ascii="Times New Roman" w:hAnsi="Times New Roman"/>
          <w:color w:val="000000"/>
          <w:sz w:val="20"/>
          <w:u w:val="single"/>
        </w:rPr>
        <w:t>Section 5.01(b)(v)</w:t>
      </w:r>
      <w:r>
        <w:rPr>
          <w:rFonts w:ascii="Times New Roman" w:hAnsi="Times New Roman"/>
          <w:color w:val="000000"/>
          <w:sz w:val="20"/>
        </w:rPr>
        <w:t xml:space="preserve"> or (B) solely to the Company, a wholly owned Subsidiary of the Company or an Affiliated Professional Entity;</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44</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720" w:right="0" w:firstLine="1080"/>
        <w:jc w:val="left"/>
        <w:rPr>
          <w:rFonts w:ascii="Times New Roman" w:hAnsi="Times New Roman"/>
          <w:color w:val="000000"/>
          <w:sz w:val="20"/>
        </w:rPr>
      </w:pPr>
      <w:r>
        <w:rPr>
          <w:rFonts w:ascii="Times New Roman" w:hAnsi="Times New Roman"/>
          <w:color w:val="000000"/>
          <w:sz w:val="20"/>
        </w:rPr>
        <w:t>(xi)  acquire (whether by merger, sale of stock or other equity interests, sale of assets or otherwise) the capital stock, equity interests or material portion of the assets of any other Person or any properties, assets, securities, business or division thereof;</w:t>
      </w:r>
    </w:p>
    <w:p>
      <w:pPr>
        <w:pStyle w:val="TextBody"/>
        <w:bidi w:val="0"/>
        <w:spacing w:before="0" w:after="0"/>
        <w:jc w:val="left"/>
        <w:rPr/>
      </w:pPr>
      <w:r>
        <w:rPr/>
      </w:r>
    </w:p>
    <w:p>
      <w:pPr>
        <w:pStyle w:val="TextBody"/>
        <w:bidi w:val="0"/>
        <w:spacing w:before="0" w:after="0"/>
        <w:ind w:left="720" w:right="0" w:firstLine="1080"/>
        <w:jc w:val="left"/>
        <w:rPr>
          <w:rFonts w:ascii="Times New Roman" w:hAnsi="Times New Roman"/>
          <w:color w:val="000000"/>
          <w:sz w:val="20"/>
        </w:rPr>
      </w:pPr>
      <w:r>
        <w:rPr>
          <w:rFonts w:ascii="Times New Roman" w:hAnsi="Times New Roman"/>
          <w:color w:val="000000"/>
          <w:sz w:val="20"/>
        </w:rPr>
        <w:t>(xii)  except as required pursuant to the terms of any Company Plan in effect on the date of this Agreement or adopted, established, entered into or amended after the date of this Agreement in a manner not in violation of this Agreement or applicable Law, (A) grant to any employee (whether of the Company, any of its Subsidiaries or any of the Affiliated Professional Entities) with an annual base salary or wage rate in excess of $150,000 any material increase in such employee’s compensation or benefits (including any severance, retention or termination pay), (B) grant to employees (of the Company, and its Subsidiaries and the Affiliated Professional Entities) any increases in compensation or benefits (including any severance, retention or termination pay) if the aggregate amount of such increases would exceed $1,000,000, (C) establish, adopt, enter into or materially amend any Collective Bargaining Agreement or any material Company Plan (which includes any Equity Plan or the Company ESPP), (D) take any action to accelerate any rights or benefits under any material Company Plan (which includes any Equity Plan or the Company ESPP), (E) grant any Equity-Based Awards or accelerate the vesting of any Equity-Based Awards, (F) undertake any reduction in force which would result in any obligation under the Workers Adjustment and Retraining Notification Act of 1988, (G) terminate the employment of any executive officer (other than “for cause” as reasonably determined by the Company in the ordinary course of business) or (H) hire any new employee with an annual base salary or wage rate in excess of $150,000;</w:t>
      </w:r>
    </w:p>
    <w:p>
      <w:pPr>
        <w:pStyle w:val="TextBody"/>
        <w:bidi w:val="0"/>
        <w:spacing w:before="0" w:after="0"/>
        <w:jc w:val="left"/>
        <w:rPr/>
      </w:pPr>
      <w:r>
        <w:rPr/>
      </w:r>
    </w:p>
    <w:p>
      <w:pPr>
        <w:pStyle w:val="TextBody"/>
        <w:bidi w:val="0"/>
        <w:spacing w:before="0" w:after="0"/>
        <w:ind w:left="720" w:right="0" w:firstLine="1080"/>
        <w:jc w:val="left"/>
        <w:rPr>
          <w:rFonts w:ascii="Times New Roman" w:hAnsi="Times New Roman"/>
          <w:color w:val="000000"/>
          <w:sz w:val="20"/>
        </w:rPr>
      </w:pPr>
      <w:r>
        <w:rPr>
          <w:rFonts w:ascii="Times New Roman" w:hAnsi="Times New Roman"/>
          <w:color w:val="000000"/>
          <w:sz w:val="20"/>
        </w:rPr>
        <w:t>(xiii)  make any material changes in financial accounting methods, principles or practices materially affecting the consolidated assets, liabilities or results of operations of the Company, its Subsidiaries or the Affiliated Professional Entities, except insofar as may be required (A) by GAAP (or any interpretation thereof), (B) by any applicable Law, including Regulation S-X under the Securities Act, or (C) by any Governmental Authority or quasi-governmental authority (including the Financial Accounting Standards Board or any similar organization);</w:t>
      </w:r>
    </w:p>
    <w:p>
      <w:pPr>
        <w:pStyle w:val="TextBody"/>
        <w:bidi w:val="0"/>
        <w:spacing w:before="0" w:after="0"/>
        <w:jc w:val="left"/>
        <w:rPr/>
      </w:pPr>
      <w:r>
        <w:rPr/>
      </w:r>
    </w:p>
    <w:p>
      <w:pPr>
        <w:pStyle w:val="TextBody"/>
        <w:bidi w:val="0"/>
        <w:spacing w:before="0" w:after="0"/>
        <w:ind w:left="720" w:right="0" w:firstLine="1080"/>
        <w:jc w:val="left"/>
        <w:rPr>
          <w:rFonts w:ascii="Times New Roman" w:hAnsi="Times New Roman"/>
          <w:color w:val="000000"/>
          <w:sz w:val="20"/>
        </w:rPr>
      </w:pPr>
      <w:r>
        <w:rPr>
          <w:rFonts w:ascii="Times New Roman" w:hAnsi="Times New Roman"/>
          <w:color w:val="000000"/>
          <w:sz w:val="20"/>
        </w:rPr>
        <w:t>(xiv)  (A) make, change or revoke any material Tax election, (B) adopt or change any Tax accounting method or change any Tax accounting period, (C) file any amended material Tax Return, (D) enter into any closing agreement with respect to a material amount of Taxes, (E) settle any material Tax claim, audit, assessment or dispute, (F) enter into any Tax indemnification, sharing, allocation reimbursement or similar agreement (other than any customary Tax indemnification provisions in ordinary course commercial agreements or arrangements that are not primarily related to Taxes), (G) initiate any voluntary Tax disclosure or Tax amnesty or similar filings with any taxing authority with respect to a material amount of Taxes, or (H) surrender any right to claim a material Tax refund;</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45</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720" w:right="0" w:firstLine="1080"/>
        <w:jc w:val="left"/>
        <w:rPr>
          <w:rFonts w:ascii="Times New Roman" w:hAnsi="Times New Roman"/>
          <w:color w:val="000000"/>
          <w:sz w:val="20"/>
        </w:rPr>
      </w:pPr>
      <w:r>
        <w:rPr>
          <w:rFonts w:ascii="Times New Roman" w:hAnsi="Times New Roman"/>
          <w:color w:val="000000"/>
          <w:sz w:val="20"/>
        </w:rPr>
        <w:t>(xv)  amend the Company Charter Documents or amend in any material respect the comparable organizational or governing documents or the Corporate Practice Documents of any Subsidiary of the Company or of any Affiliated Professional Entity;</w:t>
      </w:r>
    </w:p>
    <w:p>
      <w:pPr>
        <w:pStyle w:val="TextBody"/>
        <w:bidi w:val="0"/>
        <w:spacing w:before="0" w:after="0"/>
        <w:jc w:val="left"/>
        <w:rPr/>
      </w:pPr>
      <w:r>
        <w:rPr/>
      </w:r>
    </w:p>
    <w:p>
      <w:pPr>
        <w:pStyle w:val="TextBody"/>
        <w:bidi w:val="0"/>
        <w:spacing w:before="0" w:after="0"/>
        <w:ind w:left="720" w:right="0" w:firstLine="1080"/>
        <w:jc w:val="left"/>
        <w:rPr>
          <w:rFonts w:ascii="Times New Roman" w:hAnsi="Times New Roman"/>
          <w:color w:val="000000"/>
          <w:sz w:val="20"/>
        </w:rPr>
      </w:pPr>
      <w:r>
        <w:rPr>
          <w:rFonts w:ascii="Times New Roman" w:hAnsi="Times New Roman"/>
          <w:color w:val="000000"/>
          <w:sz w:val="20"/>
        </w:rPr>
        <w:t xml:space="preserve">(xvi)  settle, release, waive or compromise any pending or threatened Action against or involving the Company, any of its Subsidiaries or any of the Affiliated Professional Entities, other than settlements, releases, waivers or compromises of any pending or threatened Action (A) reflected or reserved against in the balance sheet (or the notes thereto) of the Company as of the Balance Sheet Date included in the Filed SEC Documents for an amount not materially in excess of the amount so reflected or reserved (excluding any amount that may be paid under insurance policies or indemnification agreements) or (B) for an amount not in excess of $100,000 individually or $200,000 in the aggregate (so long as, in the case of this </w:t>
      </w:r>
      <w:r>
        <w:rPr>
          <w:rFonts w:ascii="Times New Roman" w:hAnsi="Times New Roman"/>
          <w:color w:val="000000"/>
          <w:sz w:val="20"/>
          <w:u w:val="single"/>
        </w:rPr>
        <w:t>clause (B)</w:t>
      </w:r>
      <w:r>
        <w:rPr>
          <w:rFonts w:ascii="Times New Roman" w:hAnsi="Times New Roman"/>
          <w:color w:val="000000"/>
          <w:sz w:val="20"/>
        </w:rPr>
        <w:t xml:space="preserve">, the Company promptly notifies Parent following any such settlement, release, waiver or comprise); </w:t>
      </w:r>
      <w:r>
        <w:rPr>
          <w:rFonts w:ascii="Times New Roman" w:hAnsi="Times New Roman"/>
          <w:color w:val="000000"/>
          <w:sz w:val="20"/>
          <w:u w:val="single"/>
        </w:rPr>
        <w:t>provided</w:t>
      </w:r>
      <w:r>
        <w:rPr>
          <w:rFonts w:ascii="Times New Roman" w:hAnsi="Times New Roman"/>
          <w:color w:val="000000"/>
          <w:sz w:val="20"/>
        </w:rPr>
        <w:t xml:space="preserve"> that no settlement of any pending or threatened Action may involve (x) any material injunctive or equitable relief or impose material restrictions on the business activities of the Company, its Subsidiaries and the Affiliated Professional Entities, taken as a whole (other than customary non-disclosure obligations) or (y) any admission of wrongdoing by the Company, any of its Subsidiaries or any of the Affiliated Professional Entities;</w:t>
      </w:r>
    </w:p>
    <w:p>
      <w:pPr>
        <w:pStyle w:val="TextBody"/>
        <w:bidi w:val="0"/>
        <w:spacing w:before="0" w:after="0"/>
        <w:jc w:val="left"/>
        <w:rPr/>
      </w:pPr>
      <w:r>
        <w:rPr/>
      </w:r>
    </w:p>
    <w:p>
      <w:pPr>
        <w:pStyle w:val="TextBody"/>
        <w:bidi w:val="0"/>
        <w:spacing w:before="0" w:after="0"/>
        <w:ind w:left="720" w:right="0" w:firstLine="1080"/>
        <w:jc w:val="left"/>
        <w:rPr>
          <w:rFonts w:ascii="Times New Roman" w:hAnsi="Times New Roman"/>
          <w:color w:val="000000"/>
          <w:sz w:val="20"/>
        </w:rPr>
      </w:pPr>
      <w:r>
        <w:rPr>
          <w:rFonts w:ascii="Times New Roman" w:hAnsi="Times New Roman"/>
          <w:color w:val="000000"/>
          <w:sz w:val="20"/>
        </w:rPr>
        <w:t xml:space="preserve">(xvii)   terminate, renew, modify, amend or waive any material rights or any breaches under any Material Contract or any Corporate Practice Document, or enter into any Contract that would have been a Material Contract, Corporate Practice Document or Company Lease had such Contract been entered into prior to the date of this Agreement, in each case, other than (x) terminations, renewals, modifications or amendments in the ordinary course of business on terms that are not materially adverse to the Company, its Subsidiaries and the Affiliated Professional Entities, (y) entries into Contracts that would have been a Material Contract of the type described in </w:t>
      </w:r>
      <w:r>
        <w:rPr>
          <w:rFonts w:ascii="Times New Roman" w:hAnsi="Times New Roman"/>
          <w:color w:val="000000"/>
          <w:sz w:val="20"/>
          <w:u w:val="single"/>
        </w:rPr>
        <w:t>clause (ix)</w:t>
      </w:r>
      <w:r>
        <w:rPr>
          <w:rFonts w:ascii="Times New Roman" w:hAnsi="Times New Roman"/>
          <w:color w:val="000000"/>
          <w:sz w:val="20"/>
        </w:rPr>
        <w:t xml:space="preserve"> or </w:t>
      </w:r>
      <w:r>
        <w:rPr>
          <w:rFonts w:ascii="Times New Roman" w:hAnsi="Times New Roman"/>
          <w:color w:val="000000"/>
          <w:sz w:val="20"/>
          <w:u w:val="single"/>
        </w:rPr>
        <w:t>clause (xi)</w:t>
      </w:r>
      <w:r>
        <w:rPr>
          <w:rFonts w:ascii="Times New Roman" w:hAnsi="Times New Roman"/>
          <w:color w:val="000000"/>
          <w:sz w:val="20"/>
        </w:rPr>
        <w:t xml:space="preserve"> of </w:t>
      </w:r>
      <w:r>
        <w:rPr>
          <w:rFonts w:ascii="Times New Roman" w:hAnsi="Times New Roman"/>
          <w:color w:val="000000"/>
          <w:sz w:val="20"/>
          <w:u w:val="single"/>
        </w:rPr>
        <w:t>Section 3.16(a)</w:t>
      </w:r>
      <w:r>
        <w:rPr>
          <w:rFonts w:ascii="Times New Roman" w:hAnsi="Times New Roman"/>
          <w:color w:val="000000"/>
          <w:sz w:val="20"/>
        </w:rPr>
        <w:t xml:space="preserve"> (but not any other subclauses of </w:t>
      </w:r>
      <w:r>
        <w:rPr>
          <w:rFonts w:ascii="Times New Roman" w:hAnsi="Times New Roman"/>
          <w:color w:val="000000"/>
          <w:sz w:val="20"/>
          <w:u w:val="single"/>
        </w:rPr>
        <w:t>Section 3.16(a)</w:t>
      </w:r>
      <w:r>
        <w:rPr>
          <w:rFonts w:ascii="Times New Roman" w:hAnsi="Times New Roman"/>
          <w:color w:val="000000"/>
          <w:sz w:val="20"/>
        </w:rPr>
        <w:t xml:space="preserve">) had such Contract been entered into prior to the date of this Agreement in the ordinary course of business or (z) otherwise expressly permitted by this </w:t>
      </w:r>
      <w:r>
        <w:rPr>
          <w:rFonts w:ascii="Times New Roman" w:hAnsi="Times New Roman"/>
          <w:color w:val="000000"/>
          <w:sz w:val="20"/>
          <w:u w:val="single"/>
        </w:rPr>
        <w:t>Section 5.01</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720" w:right="0" w:firstLine="1080"/>
        <w:jc w:val="left"/>
        <w:rPr>
          <w:rFonts w:ascii="Times New Roman" w:hAnsi="Times New Roman"/>
          <w:color w:val="000000"/>
          <w:sz w:val="20"/>
        </w:rPr>
      </w:pPr>
      <w:r>
        <w:rPr>
          <w:rFonts w:ascii="Times New Roman" w:hAnsi="Times New Roman"/>
          <w:color w:val="000000"/>
          <w:sz w:val="20"/>
        </w:rPr>
        <w:t>(xviii)  assign, transfer, lease, cancel, fail to renew or fail to extend any material Permit of the Company, any of its Subsidiaries or any of the Affiliated Professional Entities;</w:t>
      </w:r>
    </w:p>
    <w:p>
      <w:pPr>
        <w:pStyle w:val="TextBody"/>
        <w:bidi w:val="0"/>
        <w:spacing w:before="0" w:after="0"/>
        <w:jc w:val="left"/>
        <w:rPr/>
      </w:pPr>
      <w:r>
        <w:rPr/>
      </w:r>
    </w:p>
    <w:p>
      <w:pPr>
        <w:pStyle w:val="TextBody"/>
        <w:bidi w:val="0"/>
        <w:spacing w:before="0" w:after="0"/>
        <w:ind w:left="720" w:right="0" w:firstLine="1080"/>
        <w:jc w:val="left"/>
        <w:rPr>
          <w:rFonts w:ascii="Times New Roman" w:hAnsi="Times New Roman"/>
          <w:color w:val="000000"/>
          <w:sz w:val="20"/>
        </w:rPr>
      </w:pPr>
      <w:r>
        <w:rPr>
          <w:rFonts w:ascii="Times New Roman" w:hAnsi="Times New Roman"/>
          <w:color w:val="000000"/>
          <w:sz w:val="20"/>
        </w:rPr>
        <w:t>(xix)  enter into any Affiliate Transactions;</w:t>
      </w:r>
    </w:p>
    <w:p>
      <w:pPr>
        <w:pStyle w:val="TextBody"/>
        <w:bidi w:val="0"/>
        <w:spacing w:before="0" w:after="0"/>
        <w:jc w:val="left"/>
        <w:rPr/>
      </w:pPr>
      <w:r>
        <w:rPr/>
      </w:r>
    </w:p>
    <w:p>
      <w:pPr>
        <w:pStyle w:val="TextBody"/>
        <w:bidi w:val="0"/>
        <w:spacing w:before="0" w:after="0"/>
        <w:ind w:left="720" w:right="0" w:firstLine="1080"/>
        <w:jc w:val="left"/>
        <w:rPr>
          <w:rFonts w:ascii="Times New Roman" w:hAnsi="Times New Roman"/>
          <w:color w:val="000000"/>
          <w:sz w:val="20"/>
        </w:rPr>
      </w:pPr>
      <w:r>
        <w:rPr>
          <w:rFonts w:ascii="Times New Roman" w:hAnsi="Times New Roman"/>
          <w:color w:val="000000"/>
          <w:sz w:val="20"/>
        </w:rPr>
        <w:t>(xx)  enter into any new line of business not conducted or discontinue any line of business conducted, in each case, as of the date of this Agreement and that is material to the Company, its Subsidiaries and the Affiliated Professional Entities, taken as a whole;</w:t>
      </w:r>
    </w:p>
    <w:p>
      <w:pPr>
        <w:pStyle w:val="TextBody"/>
        <w:bidi w:val="0"/>
        <w:spacing w:before="0" w:after="0"/>
        <w:jc w:val="left"/>
        <w:rPr/>
      </w:pPr>
      <w:r>
        <w:rPr/>
      </w:r>
    </w:p>
    <w:p>
      <w:pPr>
        <w:pStyle w:val="TextBody"/>
        <w:bidi w:val="0"/>
        <w:spacing w:before="0" w:after="0"/>
        <w:ind w:left="720" w:right="0" w:firstLine="1080"/>
        <w:jc w:val="left"/>
        <w:rPr>
          <w:rFonts w:ascii="Times New Roman" w:hAnsi="Times New Roman"/>
          <w:color w:val="000000"/>
          <w:sz w:val="20"/>
        </w:rPr>
      </w:pPr>
      <w:r>
        <w:rPr>
          <w:rFonts w:ascii="Times New Roman" w:hAnsi="Times New Roman"/>
          <w:color w:val="000000"/>
          <w:sz w:val="20"/>
        </w:rPr>
        <w:t>(xxi)  make any capital expenditures that are greater than $100,000 in the aggregate, except for capital expenditures planned and budgeted as of the date of this Agreement and in an aggregate amount not in excess of the amount set forth on Section 5.01(b)(xxi) of the Company Disclosure Letter;</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46</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720" w:right="0" w:firstLine="1080"/>
        <w:jc w:val="left"/>
        <w:rPr>
          <w:rFonts w:ascii="Times New Roman" w:hAnsi="Times New Roman"/>
          <w:color w:val="000000"/>
          <w:sz w:val="20"/>
        </w:rPr>
      </w:pPr>
      <w:r>
        <w:rPr>
          <w:rFonts w:ascii="Times New Roman" w:hAnsi="Times New Roman"/>
          <w:color w:val="000000"/>
          <w:sz w:val="20"/>
        </w:rPr>
        <w:t>(xxii)  adopt or enter into, or permit to be adopted or entered into, a plan of complete or partial liquidation, dissolution, merger, consolidation, restructuring, recapitalization or other reorganization of the Company, its Subsidiaries or the Affiliated Professional Entities; or</w:t>
      </w:r>
    </w:p>
    <w:p>
      <w:pPr>
        <w:pStyle w:val="TextBody"/>
        <w:bidi w:val="0"/>
        <w:spacing w:before="0" w:after="0"/>
        <w:jc w:val="left"/>
        <w:rPr/>
      </w:pPr>
      <w:r>
        <w:rPr/>
      </w:r>
    </w:p>
    <w:p>
      <w:pPr>
        <w:pStyle w:val="TextBody"/>
        <w:bidi w:val="0"/>
        <w:spacing w:before="0" w:after="0"/>
        <w:ind w:left="720" w:right="0" w:firstLine="1080"/>
        <w:jc w:val="left"/>
        <w:rPr>
          <w:rFonts w:ascii="Times New Roman" w:hAnsi="Times New Roman"/>
          <w:color w:val="000000"/>
          <w:sz w:val="20"/>
        </w:rPr>
      </w:pPr>
      <w:r>
        <w:rPr>
          <w:rFonts w:ascii="Times New Roman" w:hAnsi="Times New Roman"/>
          <w:color w:val="000000"/>
          <w:sz w:val="20"/>
        </w:rPr>
        <w:t>(xxiii)  commit or agree, in writing or otherwise, to take any of the foregoing actions.</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(c)  Nothing contained in this Agreement is intended to give Parent or Merger Sub, directly or indirectly, the right to control or direct the Company’s, its Subsidiaries’ or the Affiliated Professional Entities’ operations prior to the Effective Time.  Prior to the Effective Time, the Company shall exercise, consistent with the terms and conditions of this Agreement, complete control and supervision over its, its Subsidiaries’ and Affiliated Professional Entities’ respective operations.</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5.02.  </w:t>
      </w:r>
      <w:r>
        <w:rPr>
          <w:rFonts w:ascii="Times New Roman" w:hAnsi="Times New Roman"/>
          <w:color w:val="000000"/>
          <w:sz w:val="20"/>
          <w:u w:val="single"/>
        </w:rPr>
        <w:t>No Solicitation; Change in Recommendation</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(a)  Except as permitted by this </w:t>
      </w:r>
      <w:r>
        <w:rPr>
          <w:rFonts w:ascii="Times New Roman" w:hAnsi="Times New Roman"/>
          <w:color w:val="000000"/>
          <w:sz w:val="20"/>
          <w:u w:val="single"/>
        </w:rPr>
        <w:t>Section 5.02</w:t>
      </w:r>
      <w:r>
        <w:rPr>
          <w:rFonts w:ascii="Times New Roman" w:hAnsi="Times New Roman"/>
          <w:color w:val="000000"/>
          <w:sz w:val="20"/>
        </w:rPr>
        <w:t xml:space="preserve">, from the date of this Agreement until the Effective Time or, if earlier, the termination of this Agreement in accordance with </w:t>
      </w:r>
      <w:r>
        <w:rPr>
          <w:rFonts w:ascii="Times New Roman" w:hAnsi="Times New Roman"/>
          <w:color w:val="000000"/>
          <w:sz w:val="20"/>
          <w:u w:val="single"/>
        </w:rPr>
        <w:t>Article VII</w:t>
      </w:r>
      <w:r>
        <w:rPr>
          <w:rFonts w:ascii="Times New Roman" w:hAnsi="Times New Roman"/>
          <w:color w:val="000000"/>
          <w:sz w:val="20"/>
        </w:rPr>
        <w:t xml:space="preserve">, the Company shall, and shall cause each of its Subsidiaries and each of the Affiliated Professional Entities to, and shall direct and use reasonable best efforts to cause its and their Representatives acting on its or their behalf to, (i) immediately cease any solicitation, discussions or negotiations with any Persons with respect to any Takeover Proposal or any proposal that would reasonably be expected to lead to a Takeover Proposal and (ii) not, directly or indirectly, (A) initiate, solicit, knowingly facilitate or knowingly encourage (including by way of furnishing non-public information) any inquiries regarding, or the making of any proposal or offer that constitutes, or would reasonably be expected to lead to, a Takeover Proposal, (B) engage in, continue or otherwise participate in any discussions or negotiations regarding (except to notify any Person of the provisions of this </w:t>
      </w:r>
      <w:r>
        <w:rPr>
          <w:rFonts w:ascii="Times New Roman" w:hAnsi="Times New Roman"/>
          <w:color w:val="000000"/>
          <w:sz w:val="20"/>
          <w:u w:val="single"/>
        </w:rPr>
        <w:t>Section 5.02</w:t>
      </w:r>
      <w:r>
        <w:rPr>
          <w:rFonts w:ascii="Times New Roman" w:hAnsi="Times New Roman"/>
          <w:color w:val="000000"/>
          <w:sz w:val="20"/>
        </w:rPr>
        <w:t xml:space="preserve">), or furnish to any other Person any non-public information in connection with, or for the purpose of, knowingly encouraging or knowingly facilitating a Takeover Proposal, (C) approve, adopt, endorse, recommend or enter into any letter of intent, memorandum of understanding, agreement in principle, merger agreement, acquisition agreement or other similar agreement providing for or relating to a Takeover Proposal or any proposal or offer that would reasonably be expected to lead to a Takeover Proposal (other than an Acceptable Confidentiality Agreement), (D) take any action to exempt any Person (other than Parent and its Subsidiaries) from the restrictions on “business combinations” or any similar provision contained in applicable Takeover Laws or the Company’s organizational and governing documents or (E) waive or release any Person from, forebear in the enforcement of, or amend any standstill agreement or any standstill provision in any other Contract (it being understood that the Company may waive or release any such standstill provision solely to the extent reasonably necessary to permit the applicable Person (if such Person has not been solicited in breach of this </w:t>
      </w:r>
      <w:r>
        <w:rPr>
          <w:rFonts w:ascii="Times New Roman" w:hAnsi="Times New Roman"/>
          <w:color w:val="000000"/>
          <w:sz w:val="20"/>
          <w:u w:val="single"/>
        </w:rPr>
        <w:t>Section 5.02(a)</w:t>
      </w:r>
      <w:r>
        <w:rPr>
          <w:rFonts w:ascii="Times New Roman" w:hAnsi="Times New Roman"/>
          <w:color w:val="000000"/>
          <w:sz w:val="20"/>
        </w:rPr>
        <w:t>) to make, on a confidential basis, a Takeover Proposal, if the Board of Directors of the Company has determined in good faith, after consultation with outside legal counsel, that failure to so waive or release such standstill would reasonably be expected to be inconsistent with the directors’ fiduciary duties under applicable Law).  Following the date of this Agreement, the Company shall promptly (x) discontinue all electronic or physical data room access granted to any Person and any such Person’s Representatives (other than Parent, its Affiliates and their respective Representatives) and (y) request the prompt return or destruction (to the extent provided for by the applicable confidentiality agreement) of all confidential information or documents previously furnished to any Person and any such Person’s Representatives (other than Parent, its Affiliates and their respective Representatives) and all material incorporating such information created by any such Person.</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47</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(b)  Notwithstanding anything contained in </w:t>
      </w:r>
      <w:r>
        <w:rPr>
          <w:rFonts w:ascii="Times New Roman" w:hAnsi="Times New Roman"/>
          <w:color w:val="000000"/>
          <w:sz w:val="20"/>
          <w:u w:val="single"/>
        </w:rPr>
        <w:t>Section 5.02(a)</w:t>
      </w:r>
      <w:r>
        <w:rPr>
          <w:rFonts w:ascii="Times New Roman" w:hAnsi="Times New Roman"/>
          <w:color w:val="000000"/>
          <w:sz w:val="20"/>
        </w:rPr>
        <w:t xml:space="preserve"> or any other provision of this Agreement to the contrary, if at any time on or after the date of this Agreement and prior to obtaining the Company Stockholder Approval or, if earlier, the termination of this Agreement in accordance with </w:t>
      </w:r>
      <w:r>
        <w:rPr>
          <w:rFonts w:ascii="Times New Roman" w:hAnsi="Times New Roman"/>
          <w:color w:val="000000"/>
          <w:sz w:val="20"/>
          <w:u w:val="single"/>
        </w:rPr>
        <w:t>Article VII</w:t>
      </w:r>
      <w:r>
        <w:rPr>
          <w:rFonts w:ascii="Times New Roman" w:hAnsi="Times New Roman"/>
          <w:color w:val="000000"/>
          <w:sz w:val="20"/>
        </w:rPr>
        <w:t xml:space="preserve">, the Company or any of its Subsidiaries or any of its or their Representatives receives a Takeover Proposal, which Takeover Proposal did not result from a material breach of </w:t>
      </w:r>
      <w:r>
        <w:rPr>
          <w:rFonts w:ascii="Times New Roman" w:hAnsi="Times New Roman"/>
          <w:color w:val="000000"/>
          <w:sz w:val="20"/>
          <w:u w:val="single"/>
        </w:rPr>
        <w:t>Section 5.02(a)</w:t>
      </w:r>
      <w:r>
        <w:rPr>
          <w:rFonts w:ascii="Times New Roman" w:hAnsi="Times New Roman"/>
          <w:color w:val="000000"/>
          <w:sz w:val="20"/>
        </w:rPr>
        <w:t xml:space="preserve"> (it being understood that if any Representative of the Company or any of its Subsidiaries takes any action on behalf of the Company or its Subsidiaries that if taken by the Company would be a breach of </w:t>
      </w:r>
      <w:r>
        <w:rPr>
          <w:rFonts w:ascii="Times New Roman" w:hAnsi="Times New Roman"/>
          <w:color w:val="000000"/>
          <w:sz w:val="20"/>
          <w:u w:val="single"/>
        </w:rPr>
        <w:t>Section 5.02(a)</w:t>
      </w:r>
      <w:r>
        <w:rPr>
          <w:rFonts w:ascii="Times New Roman" w:hAnsi="Times New Roman"/>
          <w:color w:val="000000"/>
          <w:sz w:val="20"/>
        </w:rPr>
        <w:t xml:space="preserve">, the taking of such action by such Representative will be deemed to constitute a breach of </w:t>
      </w:r>
      <w:r>
        <w:rPr>
          <w:rFonts w:ascii="Times New Roman" w:hAnsi="Times New Roman"/>
          <w:color w:val="000000"/>
          <w:sz w:val="20"/>
          <w:u w:val="single"/>
        </w:rPr>
        <w:t>Section 5.02(a)</w:t>
      </w:r>
      <w:r>
        <w:rPr>
          <w:rFonts w:ascii="Times New Roman" w:hAnsi="Times New Roman"/>
          <w:color w:val="000000"/>
          <w:sz w:val="20"/>
        </w:rPr>
        <w:t xml:space="preserve"> by the Company for purposes of this </w:t>
      </w:r>
      <w:r>
        <w:rPr>
          <w:rFonts w:ascii="Times New Roman" w:hAnsi="Times New Roman"/>
          <w:color w:val="000000"/>
          <w:sz w:val="20"/>
          <w:u w:val="single"/>
        </w:rPr>
        <w:t>Section 5.02</w:t>
      </w:r>
      <w:r>
        <w:rPr>
          <w:rFonts w:ascii="Times New Roman" w:hAnsi="Times New Roman"/>
          <w:color w:val="000000"/>
          <w:sz w:val="20"/>
        </w:rPr>
        <w:t xml:space="preserve">), (i) the Company and its Representatives may contact and engage in discussions with such Person or group of Persons making the Takeover Proposal or its or their Representatives to clarify the terms and conditions thereof or to request that any Takeover Proposal made orally be made in writing or to notify such Person or group of Persons or its or their Representatives of the provisions of this </w:t>
      </w:r>
      <w:r>
        <w:rPr>
          <w:rFonts w:ascii="Times New Roman" w:hAnsi="Times New Roman"/>
          <w:color w:val="000000"/>
          <w:sz w:val="20"/>
          <w:u w:val="single"/>
        </w:rPr>
        <w:t>Section 5.02</w:t>
      </w:r>
      <w:r>
        <w:rPr>
          <w:rFonts w:ascii="Times New Roman" w:hAnsi="Times New Roman"/>
          <w:color w:val="000000"/>
          <w:sz w:val="20"/>
        </w:rPr>
        <w:t xml:space="preserve"> and (ii) if the Board of Directors of the Company or any duly authorized committee thereof determines in good faith, after consultation with its financial advisors and outside legal counsel, that (x) a bona fide written Takeover Proposal constitutes or would reasonably be expected to result in a Superior Proposal and (y) the failure to take such actions described in </w:t>
      </w:r>
      <w:r>
        <w:rPr>
          <w:rFonts w:ascii="Times New Roman" w:hAnsi="Times New Roman"/>
          <w:color w:val="000000"/>
          <w:sz w:val="20"/>
          <w:u w:val="single"/>
        </w:rPr>
        <w:t>clauses (A)</w:t>
      </w:r>
      <w:r>
        <w:rPr>
          <w:rFonts w:ascii="Times New Roman" w:hAnsi="Times New Roman"/>
          <w:color w:val="000000"/>
          <w:sz w:val="20"/>
        </w:rPr>
        <w:t xml:space="preserve"> or </w:t>
      </w:r>
      <w:r>
        <w:rPr>
          <w:rFonts w:ascii="Times New Roman" w:hAnsi="Times New Roman"/>
          <w:color w:val="000000"/>
          <w:sz w:val="20"/>
          <w:u w:val="single"/>
        </w:rPr>
        <w:t>(B)</w:t>
      </w:r>
      <w:r>
        <w:rPr>
          <w:rFonts w:ascii="Times New Roman" w:hAnsi="Times New Roman"/>
          <w:color w:val="000000"/>
          <w:sz w:val="20"/>
        </w:rPr>
        <w:t xml:space="preserve"> below would reasonably be expected to be inconsistent with the directors’ fiduciary duties under applicable Law, then the Company and any of its Representatives may (A) enter into an Acceptable Confidentiality Agreement with the Person or group of Persons making such Takeover Proposal and furnish pursuant to an Acceptable Confidentiality Agreement information (including non-public information) with respect to the Company and its Subsidiaries to the Person or group of Persons who has made such Takeover Proposal and its or their respective Representatives; </w:t>
      </w:r>
      <w:r>
        <w:rPr>
          <w:rFonts w:ascii="Times New Roman" w:hAnsi="Times New Roman"/>
          <w:color w:val="000000"/>
          <w:sz w:val="20"/>
          <w:u w:val="single"/>
        </w:rPr>
        <w:t>provided</w:t>
      </w:r>
      <w:r>
        <w:rPr>
          <w:rFonts w:ascii="Times New Roman" w:hAnsi="Times New Roman"/>
          <w:color w:val="000000"/>
          <w:sz w:val="20"/>
        </w:rPr>
        <w:t xml:space="preserve"> that the Company shall promptly (and in any event within twenty-four (24) hours) provide to Parent any material non-public information concerning the Company or any of its Subsidiaries that is provided to any Person given such access which was not previously provided to Parent or its Representatives; and (B) engage in or otherwise participate in discussions or negotiations with the Person or group of Persons making such Takeover Proposal and its or their Representatives.  The parties acknowledge and agree that any contacts, disclosures, discussions or negotiations permitted under this </w:t>
      </w:r>
      <w:r>
        <w:rPr>
          <w:rFonts w:ascii="Times New Roman" w:hAnsi="Times New Roman"/>
          <w:color w:val="000000"/>
          <w:sz w:val="20"/>
          <w:u w:val="single"/>
        </w:rPr>
        <w:t>Section 5.02(b)</w:t>
      </w:r>
      <w:r>
        <w:rPr>
          <w:rFonts w:ascii="Times New Roman" w:hAnsi="Times New Roman"/>
          <w:color w:val="000000"/>
          <w:sz w:val="20"/>
        </w:rPr>
        <w:t xml:space="preserve">, including any public announcement that the Company or the Board of Directors of the Company (or any duly authorized committee thereof) has made any determination contemplated under this </w:t>
      </w:r>
      <w:r>
        <w:rPr>
          <w:rFonts w:ascii="Times New Roman" w:hAnsi="Times New Roman"/>
          <w:color w:val="000000"/>
          <w:sz w:val="20"/>
          <w:u w:val="single"/>
        </w:rPr>
        <w:t>Section 5.02(b)</w:t>
      </w:r>
      <w:r>
        <w:rPr>
          <w:rFonts w:ascii="Times New Roman" w:hAnsi="Times New Roman"/>
          <w:color w:val="000000"/>
          <w:sz w:val="20"/>
        </w:rPr>
        <w:t xml:space="preserve"> to take or engage in any such actions, shall not constitute an Adverse Recommendation Change.  The Company shall not, and shall cause its Subsidiaries not to, enter into any confidentiality agreement with any Person (relating to a Takeover Proposal) that prohibits the sharing of any information with Parent (and its Representatives) in accordance with this Agreement.</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(c)  Following the date of this Agreement and prior to obtaining the Company Stockholder Approval, the Company shall (i) promptly (and in any event within twenty-four (24) hours of receipt) notify Parent in the event that the Company or any of its Subsidiaries or any of its or their Representatives receives a Takeover Proposal, or any inquiries, proposals or requests for discussions, negotiations or non-public information that would reasonably be expected to lead to a Takeover Proposal, and shall disclose to Parent the material terms and conditions of any such Takeover Proposal and the identity of the Person or group of Persons making such Takeover Proposal, (ii) upon the request of Parent, keep Parent reasonably informed on a prompt basis of the status, material details and any material developments with respect to any such Takeover Proposal, inquiries, proposals or requests (including any material changes thereto) and (iii) promptly (and in any event within twenty-four (24) hours of receipt) provide to Parent copies of all correspondence and other written and electronic material exchanged between the Company or any of its Subsidiaries or any of its or their Representatives and any Person that relates to the material terms or conditions of any such Takeover Proposal.  For the avoidance of doubt, all information provided to Parent pursuant to this </w:t>
      </w:r>
      <w:r>
        <w:rPr>
          <w:rFonts w:ascii="Times New Roman" w:hAnsi="Times New Roman"/>
          <w:color w:val="000000"/>
          <w:sz w:val="20"/>
          <w:u w:val="single"/>
        </w:rPr>
        <w:t>Section 5.02(c)</w:t>
      </w:r>
      <w:r>
        <w:rPr>
          <w:rFonts w:ascii="Times New Roman" w:hAnsi="Times New Roman"/>
          <w:color w:val="000000"/>
          <w:sz w:val="20"/>
        </w:rPr>
        <w:t xml:space="preserve"> will be subject to the terms of the Confidentiality Agreement.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48</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(d)  None of the Board of Directors of the Company or any duly authorized committee thereof shall (i) (A) fail to include the Company Board Recommendation in the Proxy Statement, (B) withdraw or withhold (or modify or qualify in a manner adverse to Parent), or publicly propose to withdraw or withhold (or modify or qualify in a manner adverse to Parent), the Company Board Recommendation, (C) recommend the approval or adoption of, or approve or adopt, or publicly propose to recommend, approve or adopt, any Takeover Proposal (it being understood that the Board of Directors of the Company or any duly authorized committee thereof may, and may cause the Company to, make a customary “stop, look and listen” communication), (D) fail to recommend against acceptance by the holders of Company Common Stock of a third party tender offer or exchange offer that constitutes a Takeover Proposal within ten (10) Business Days after the commencement of such offer pursuant to Rule 14-d-2 of the Exchange Act or (E) commit or agree to take any of the foregoing actions (any action described in this </w:t>
      </w:r>
      <w:r>
        <w:rPr>
          <w:rFonts w:ascii="Times New Roman" w:hAnsi="Times New Roman"/>
          <w:color w:val="000000"/>
          <w:sz w:val="20"/>
          <w:u w:val="single"/>
        </w:rPr>
        <w:t>clause (i)</w:t>
      </w:r>
      <w:r>
        <w:rPr>
          <w:rFonts w:ascii="Times New Roman" w:hAnsi="Times New Roman"/>
          <w:color w:val="000000"/>
          <w:sz w:val="20"/>
        </w:rPr>
        <w:t xml:space="preserve"> being referred to as an “</w:t>
      </w:r>
      <w:r>
        <w:rPr>
          <w:rFonts w:ascii="Times New Roman" w:hAnsi="Times New Roman"/>
          <w:color w:val="000000"/>
          <w:sz w:val="20"/>
          <w:u w:val="single"/>
        </w:rPr>
        <w:t>Adverse Recommendation Change</w:t>
      </w:r>
      <w:r>
        <w:rPr>
          <w:rFonts w:ascii="Times New Roman" w:hAnsi="Times New Roman"/>
          <w:color w:val="000000"/>
          <w:sz w:val="20"/>
        </w:rPr>
        <w:t>”) or (ii) approve or recommend, or cause or permit the Company or any of its Subsidiaries or any of the Affiliated Professional Entities to execute or enter into, any letter of intent, memorandum of understanding, agreement in principle, merger agreement, acquisition agreement or other similar agreement providing for, or that is intended to or would reasonably be expected to lead to, a Takeover Proposal, other than any Acceptable Confidentiality Agreement (each, a “</w:t>
      </w:r>
      <w:r>
        <w:rPr>
          <w:rFonts w:ascii="Times New Roman" w:hAnsi="Times New Roman"/>
          <w:color w:val="000000"/>
          <w:sz w:val="20"/>
          <w:u w:val="single"/>
        </w:rPr>
        <w:t>Company Acquisition Agreement</w:t>
      </w:r>
      <w:r>
        <w:rPr>
          <w:rFonts w:ascii="Times New Roman" w:hAnsi="Times New Roman"/>
          <w:color w:val="000000"/>
          <w:sz w:val="20"/>
        </w:rPr>
        <w:t xml:space="preserve">”).  Notwithstanding the foregoing or any other provision of this Agreement to the contrary, prior to obtaining the Company Stockholder Approval, but not after, the Board of Directors of the Company or any duly authorized committee thereof may (I) make an Adverse Recommendation Change in response to an Intervening Event or in response to a Superior Proposal received after the date of this Agreement (which such Superior Proposal did not result from a material breach of </w:t>
      </w:r>
      <w:r>
        <w:rPr>
          <w:rFonts w:ascii="Times New Roman" w:hAnsi="Times New Roman"/>
          <w:color w:val="000000"/>
          <w:sz w:val="20"/>
          <w:u w:val="single"/>
        </w:rPr>
        <w:t>Section 5.02(a)</w:t>
      </w:r>
      <w:r>
        <w:rPr>
          <w:rFonts w:ascii="Times New Roman" w:hAnsi="Times New Roman"/>
          <w:color w:val="000000"/>
          <w:sz w:val="20"/>
        </w:rPr>
        <w:t xml:space="preserve"> by the Company) or (II) cause the Company to enter into a Company Acquisition Agreement with respect to a Takeover Proposal (where such Takeover Proposal constitutes a Superior Proposal, which such Superior Proposal did not result from a material breach of </w:t>
      </w:r>
      <w:r>
        <w:rPr>
          <w:rFonts w:ascii="Times New Roman" w:hAnsi="Times New Roman"/>
          <w:color w:val="000000"/>
          <w:sz w:val="20"/>
          <w:u w:val="single"/>
        </w:rPr>
        <w:t>Section 5.02(a)</w:t>
      </w:r>
      <w:r>
        <w:rPr>
          <w:rFonts w:ascii="Times New Roman" w:hAnsi="Times New Roman"/>
          <w:color w:val="000000"/>
          <w:sz w:val="20"/>
        </w:rPr>
        <w:t xml:space="preserve"> by the Company) and terminate this Agreement pursuant to </w:t>
      </w:r>
      <w:r>
        <w:rPr>
          <w:rFonts w:ascii="Times New Roman" w:hAnsi="Times New Roman"/>
          <w:color w:val="000000"/>
          <w:sz w:val="20"/>
          <w:u w:val="single"/>
        </w:rPr>
        <w:t>Section 7.01(d)(ii)</w:t>
      </w:r>
      <w:r>
        <w:rPr>
          <w:rFonts w:ascii="Times New Roman" w:hAnsi="Times New Roman"/>
          <w:color w:val="000000"/>
          <w:sz w:val="20"/>
        </w:rPr>
        <w:t xml:space="preserve">, in either case if the Board of Directors of the Company or any duly authorized committee thereof has determined in good faith, after consultation with its financial advisors and outside legal counsel, that the failure to take such action would reasonably be expected to be inconsistent with the directors’ fiduciary duties under applicable Law;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the Board of Directors of the Company or any duly authorized committee thereof shall not, and the Company shall not, shall cause its Subsidiaries not to, and shall direct the Affiliated Professional Entities not to, take any action set forth in </w:t>
      </w:r>
      <w:r>
        <w:rPr>
          <w:rFonts w:ascii="Times New Roman" w:hAnsi="Times New Roman"/>
          <w:color w:val="000000"/>
          <w:sz w:val="20"/>
          <w:u w:val="single"/>
        </w:rPr>
        <w:t>clause (I)</w:t>
      </w:r>
      <w:r>
        <w:rPr>
          <w:rFonts w:ascii="Times New Roman" w:hAnsi="Times New Roman"/>
          <w:color w:val="000000"/>
          <w:sz w:val="20"/>
        </w:rPr>
        <w:t xml:space="preserve"> or </w:t>
      </w:r>
      <w:r>
        <w:rPr>
          <w:rFonts w:ascii="Times New Roman" w:hAnsi="Times New Roman"/>
          <w:color w:val="000000"/>
          <w:sz w:val="20"/>
          <w:u w:val="single"/>
        </w:rPr>
        <w:t>clause (II)</w:t>
      </w:r>
      <w:r>
        <w:rPr>
          <w:rFonts w:ascii="Times New Roman" w:hAnsi="Times New Roman"/>
          <w:color w:val="000000"/>
          <w:sz w:val="20"/>
        </w:rPr>
        <w:t xml:space="preserve"> unless (1) the Company has given Parent at least four (4) Business Days’ prior written notice of its intention to take such action (which notice shall state that the Company has received a written Takeover Proposal that constitutes a Superior Proposal, specify the identity of the party making such Superior Proposal and the material terms thereof, or, if in response to an Intervening Event, shall have specified in reasonable detail the material facts and circumstances describing the Intervening Event and the rationale for the Adverse Recommendation Change, and shall state that the Board of Directors of the Company has determined to make an Adverse Recommendation Change) (such notice, a “</w:t>
      </w:r>
      <w:r>
        <w:rPr>
          <w:rFonts w:ascii="Times New Roman" w:hAnsi="Times New Roman"/>
          <w:color w:val="000000"/>
          <w:sz w:val="20"/>
          <w:u w:val="single"/>
        </w:rPr>
        <w:t>Match Right Notice</w:t>
      </w:r>
      <w:r>
        <w:rPr>
          <w:rFonts w:ascii="Times New Roman" w:hAnsi="Times New Roman"/>
          <w:color w:val="000000"/>
          <w:sz w:val="20"/>
        </w:rPr>
        <w:t xml:space="preserve">”), (2) the Company has negotiated, and has caused its Representatives to negotiate, in good faith with Parent during such notice period, to the extent Parent wishes to negotiate, to enable Parent to propose in writing a binding offer to effect revisions to the terms of this Agreement such that it would cause such Superior Proposal to no longer constitute a Superior Proposal or, in the case of an Intervening Event, to effect revisions to this Agreement or make another proposal so that the failure to make an Adverse Recommendation Change would no longer reasonably be expected to be inconsistent with the directors’ fiduciary duties under applicable Law and (3) following the end of such notice period, the Board of Directors of the Company or any duly authorized committee thereof shall have considered in good faith such binding offer, and shall, after consultation with its financial advisors and outside legal counsel, have determined that the Superior Proposal would continue to constitute a Superior Proposal if the revisions proposed in such binding offer were to be given effect or, if the Match Right Notice is related to an Intervening Event, taking into account any revised terms committed to in writing by Parent, that failure to make an Adverse Recommendation Change would reasonably be expected to be inconsistent with the directors’ fiduciary duties under applicable Law (it being understood and agreed that any change to the financial or other material terms of any Takeover Proposal or any material development in any Intervening Event, in each case, that was previously the subject of a Match Right Notice shall require the Company to deliver to Parent a new Match Right Notice as provided for immediately above, provided that the reference in </w:t>
      </w:r>
      <w:r>
        <w:rPr>
          <w:rFonts w:ascii="Times New Roman" w:hAnsi="Times New Roman"/>
          <w:color w:val="000000"/>
          <w:sz w:val="20"/>
          <w:u w:val="single"/>
        </w:rPr>
        <w:t>clause (1)</w:t>
      </w:r>
      <w:r>
        <w:rPr>
          <w:rFonts w:ascii="Times New Roman" w:hAnsi="Times New Roman"/>
          <w:color w:val="000000"/>
          <w:sz w:val="20"/>
        </w:rPr>
        <w:t xml:space="preserve"> to “four (4) Business Days’” shall be deemed to be “two (2) Business Days’”); </w:t>
      </w:r>
      <w:r>
        <w:rPr>
          <w:rFonts w:ascii="Times New Roman" w:hAnsi="Times New Roman"/>
          <w:color w:val="000000"/>
          <w:sz w:val="20"/>
          <w:u w:val="single"/>
        </w:rPr>
        <w:t>provided</w:t>
      </w:r>
      <w:r>
        <w:rPr>
          <w:rFonts w:ascii="Times New Roman" w:hAnsi="Times New Roman"/>
          <w:color w:val="000000"/>
          <w:sz w:val="20"/>
        </w:rPr>
        <w:t>, </w:t>
      </w:r>
      <w:r>
        <w:rPr>
          <w:rFonts w:ascii="Times New Roman" w:hAnsi="Times New Roman"/>
          <w:color w:val="000000"/>
          <w:sz w:val="20"/>
          <w:u w:val="single"/>
        </w:rPr>
        <w:t>further</w:t>
      </w:r>
      <w:r>
        <w:rPr>
          <w:rFonts w:ascii="Times New Roman" w:hAnsi="Times New Roman"/>
          <w:color w:val="000000"/>
          <w:sz w:val="20"/>
        </w:rPr>
        <w:t xml:space="preserve"> that any purported termination of this Agreement pursuant to this sentence shall be void and of no force and effect unless the termination is in accordance with </w:t>
      </w:r>
      <w:r>
        <w:rPr>
          <w:rFonts w:ascii="Times New Roman" w:hAnsi="Times New Roman"/>
          <w:color w:val="000000"/>
          <w:sz w:val="20"/>
          <w:u w:val="single"/>
        </w:rPr>
        <w:t>Section 7.01</w:t>
      </w:r>
      <w:r>
        <w:rPr>
          <w:rFonts w:ascii="Times New Roman" w:hAnsi="Times New Roman"/>
          <w:color w:val="000000"/>
          <w:sz w:val="20"/>
        </w:rPr>
        <w:t xml:space="preserve"> and, to the extent required under the terms of this Agreement, the Company pays or causes to be paid to Parent the applicable Company Termination Fee in accordance with </w:t>
      </w:r>
      <w:r>
        <w:rPr>
          <w:rFonts w:ascii="Times New Roman" w:hAnsi="Times New Roman"/>
          <w:color w:val="000000"/>
          <w:sz w:val="20"/>
          <w:u w:val="single"/>
        </w:rPr>
        <w:t>Section 7.03</w:t>
      </w:r>
      <w:r>
        <w:rPr>
          <w:rFonts w:ascii="Times New Roman" w:hAnsi="Times New Roman"/>
          <w:color w:val="000000"/>
          <w:sz w:val="20"/>
        </w:rPr>
        <w:t xml:space="preserve"> (to the extent due and payable thereunder) prior to or concurrently with such termination so long as Parent has provided the Company with wire instructions for such payment.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49</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(e)  Nothing in this </w:t>
      </w:r>
      <w:r>
        <w:rPr>
          <w:rFonts w:ascii="Times New Roman" w:hAnsi="Times New Roman"/>
          <w:color w:val="000000"/>
          <w:sz w:val="20"/>
          <w:u w:val="single"/>
        </w:rPr>
        <w:t>Section 5.02</w:t>
      </w:r>
      <w:r>
        <w:rPr>
          <w:rFonts w:ascii="Times New Roman" w:hAnsi="Times New Roman"/>
          <w:color w:val="000000"/>
          <w:sz w:val="20"/>
        </w:rPr>
        <w:t xml:space="preserve"> or elsewhere in this Agreement shall prohibit the Company or the Board of Directors of the Company or any duly authorized committee thereof from (i) taking and disclosing to the stockholders of the Company a position contemplated by Rule 14e-2(a), Rule 14d-9 or Item 1012(a) of Regulation M-A promulgated under the Exchange Act or (ii) making any disclosure to the stockholders of the Company that is required by applicable Law or if the Board of Directors of the Company or any duly authorized committee thereof determines in good faith, after consultation with the Company’s outside legal counsel, that the failure of the Board of Directors of the Company or any duly authorized committee thereof to make such disclosure reasonably be expected to be inconsistent with the directors’ fiduciary duties under applicable Law; provided that the Board of Directors of the Company shall not effect an Adverse Recommendation Change except in accordance with </w:t>
      </w:r>
      <w:r>
        <w:rPr>
          <w:rFonts w:ascii="Times New Roman" w:hAnsi="Times New Roman"/>
          <w:color w:val="000000"/>
          <w:sz w:val="20"/>
          <w:u w:val="single"/>
        </w:rPr>
        <w:t>Section 5.02(d)</w:t>
      </w:r>
      <w:r>
        <w:rPr>
          <w:rFonts w:ascii="Times New Roman" w:hAnsi="Times New Roman"/>
          <w:color w:val="000000"/>
          <w:sz w:val="20"/>
        </w:rPr>
        <w: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50</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(f)  As used in this Agreement, “</w:t>
      </w:r>
      <w:r>
        <w:rPr>
          <w:rFonts w:ascii="Times New Roman" w:hAnsi="Times New Roman"/>
          <w:color w:val="000000"/>
          <w:sz w:val="20"/>
          <w:u w:val="single"/>
        </w:rPr>
        <w:t>Acceptable Confidentiality Agreement</w:t>
      </w:r>
      <w:r>
        <w:rPr>
          <w:rFonts w:ascii="Times New Roman" w:hAnsi="Times New Roman"/>
          <w:color w:val="000000"/>
          <w:sz w:val="20"/>
        </w:rPr>
        <w:t>” means (x) a customary confidentiality agreement entered into by the Company from and after the date of this Agreement that contains confidentiality provisions that are not materially less favorable in the aggregate to the Company than those contained in the Confidentiality Agreement, except that such confidentiality agreement need not include explicit or implicit standstill provisions or otherwise restrict the making of or amendment or modification to Takeover Proposals or (y) any confidentiality agreement entered into prior to the date of this Agreement.</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(g)  As used in this Agreement, “</w:t>
      </w:r>
      <w:r>
        <w:rPr>
          <w:rFonts w:ascii="Times New Roman" w:hAnsi="Times New Roman"/>
          <w:color w:val="000000"/>
          <w:sz w:val="20"/>
          <w:u w:val="single"/>
        </w:rPr>
        <w:t>Takeover Proposal</w:t>
      </w:r>
      <w:r>
        <w:rPr>
          <w:rFonts w:ascii="Times New Roman" w:hAnsi="Times New Roman"/>
          <w:color w:val="000000"/>
          <w:sz w:val="20"/>
        </w:rPr>
        <w:t xml:space="preserve">” shall mean any bona fide third party proposal or offer from any Person or group (other than Parent and its Subsidiaries) relating to, in a single transaction or series of related transactions, any direct or indirect (i) acquisition or disposition of 25% or more of the consolidated assets of the Company and its Subsidiaries (based on the fair market value thereof, as determined in good faith by the Board of Directors of the Company or any duly authorized committee thereof), including through the acquisition of one or more Subsidiaries of the Company owning such assets, (ii) acquisition or disposition of securities representing 25% or more of the voting power of the then outstanding Company Common Stock, (iii) tender offer or exchange offer that if consummated would result in any Person or group (or the equityholders of any Person) owning, directly or indirectly, securities representing 25% or more of the voting power of the then outstanding Company Common Stock or (iv) merger, consolidation, share exchange, business combination, recapitalization, liquidation, dissolution or similar transaction involving the Company pursuant to which such Person or group (or the equityholders of any Person) would own, directly or indirectly, 25% or more of the consolidated assets of the Company and its Subsidiaries (based on the fair market value thereof, as determined in good faith by the Board of Directors of the Company or any duly authorized committee thereof) or securities representing 25% or more of the aggregate voting power of the Company’s then outstanding securities or of the surviving entity in a merger, consolidation, share exchange or other business combination involving the Company or the resulting direct or indirect parent of the Company or such surviving entity, in each case, other than the Transactions;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this Agreement and the Transactions shall not be deemed a Takeover Proposal.</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(h)  As used in this Agreement, “</w:t>
      </w:r>
      <w:r>
        <w:rPr>
          <w:rFonts w:ascii="Times New Roman" w:hAnsi="Times New Roman"/>
          <w:color w:val="000000"/>
          <w:sz w:val="20"/>
          <w:u w:val="single"/>
        </w:rPr>
        <w:t>Superior Proposal</w:t>
      </w:r>
      <w:r>
        <w:rPr>
          <w:rFonts w:ascii="Times New Roman" w:hAnsi="Times New Roman"/>
          <w:color w:val="000000"/>
          <w:sz w:val="20"/>
        </w:rPr>
        <w:t xml:space="preserve">” shall mean any bona fide written Takeover Proposal made after the date hereof that the Board of Directors of the Company or any duly authorized committee thereof has determined in its good faith judgment, after consultation with its financial advisors and outside legal counsel, (i) would be more favorable to the stockholders of the Company than the Transactions from a financial point of view and (ii) is reasonably capable of being completed, in each case, taking into account all legal, regulatory, financial, financing and other aspects of such proposal and of this Agreement; </w:t>
      </w:r>
      <w:r>
        <w:rPr>
          <w:rFonts w:ascii="Times New Roman" w:hAnsi="Times New Roman"/>
          <w:color w:val="000000"/>
          <w:sz w:val="20"/>
          <w:u w:val="single"/>
        </w:rPr>
        <w:t>provided</w:t>
      </w:r>
      <w:r>
        <w:rPr>
          <w:rFonts w:ascii="Times New Roman" w:hAnsi="Times New Roman"/>
          <w:color w:val="000000"/>
          <w:sz w:val="20"/>
        </w:rPr>
        <w:t xml:space="preserve"> that, for purposes of the definition of “Superior Proposal”, the references to “25%” in the definition of Takeover Proposal shall be deemed to be references to “50%”.</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51</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5.03.  </w:t>
      </w:r>
      <w:r>
        <w:rPr>
          <w:rFonts w:ascii="Times New Roman" w:hAnsi="Times New Roman"/>
          <w:color w:val="000000"/>
          <w:sz w:val="20"/>
          <w:u w:val="single"/>
        </w:rPr>
        <w:t>Efforts</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(a)  Subject to the terms and conditions of this Agreement, each of the parties hereto shall coordinate and cooperate with the other parties and use, and shall cause its Affiliates to use, reasonable best efforts (unless, with respect to any action, another standard of performance is expressly provided for herein) to as promptly as reasonably practicable (i) take, or cause to be taken, all actions, and do, or cause to be done, and assist and cooperate with the other parties hereto in doing, all things necessary, proper or advisable to cause the conditions to Closing to be satisfied as promptly as reasonably practicable and to consummate and make effective, in the most expeditious manner reasonably practicable, the Transactions, including preparing and filing promptly and fully all documentation to effect all necessary, proper and advisable filings, notices, petitions, statements, registrations, declarations, submissions of information, applications, reports and other documents, (ii) obtain all approvals, consents, registrations, waivers, permits, authorizations, exemptions, clearances, orders and other confirmations from any Governmental Authority or third party necessary, proper or advisable to consummate the Transactions, (iii) execute and deliver any additional instruments necessary to consummate the Transactions and (iv) defend or contest in good faith any Action brought by any Governmental Authority or a third party or any Judgment that could otherwise prevent or impede, interfere with, hinder or delay in any material respect the consummation of the Transactions.</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(b)  In furtherance and not in limitation of the foregoing, the Company and Parent shall each use, and shall cause its Affiliates to use, reasonable best efforts to (i) take all action necessary to ensure that no Takeover Law is or becomes applicable to any of the Transactions and refrain from taking any actions that would cause the applicability of such Laws and (ii) if the restrictions of any Takeover Law become applicable to any of the Transactions, take all action necessary to ensure that the Transactions may be consummated as promptly as practicable on the terms contemplated by this Agreement and otherwise lawfully minimize the effect of such Takeover Law on the Transactions.</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(c)  Parent and the Company shall jointly coordinate and cooperate in developing (i) the timing and strategy for obtaining any approvals, consents, registrations, waivers, permits, authorizations, exemptions, clearances, orders and other confirmations from any Governmental Authority in connection with the Transactions and (ii) the positions to be taken and the regulatory actions to be requested in any filing or submission with any Governmental Authority in connection with the Transactions and in connection with any investigation or other inquiry or litigation by or before, or any negotiations with, any Governmental Authority relating to the Transactions and of all other regulatory matters incidental thereto; subject to the other provisions of this </w:t>
      </w:r>
      <w:r>
        <w:rPr>
          <w:rFonts w:ascii="Times New Roman" w:hAnsi="Times New Roman"/>
          <w:color w:val="000000"/>
          <w:sz w:val="20"/>
          <w:u w:val="single"/>
        </w:rPr>
        <w:t>Section 5.03</w:t>
      </w:r>
      <w:r>
        <w:rPr>
          <w:rFonts w:ascii="Times New Roman" w:hAnsi="Times New Roman"/>
          <w:color w:val="000000"/>
          <w:sz w:val="20"/>
        </w:rPr>
        <w:t xml:space="preserve"> and Parent considering in good faith the views and comments of the Company and its outside counsel, Parent shall make the final determination as to the appropriate course of action with matters described in the foregoing </w:t>
      </w:r>
      <w:r>
        <w:rPr>
          <w:rFonts w:ascii="Times New Roman" w:hAnsi="Times New Roman"/>
          <w:color w:val="000000"/>
          <w:sz w:val="20"/>
          <w:u w:val="single"/>
        </w:rPr>
        <w:t>clauses (i)</w:t>
      </w:r>
      <w:r>
        <w:rPr>
          <w:rFonts w:ascii="Times New Roman" w:hAnsi="Times New Roman"/>
          <w:color w:val="000000"/>
          <w:sz w:val="20"/>
        </w:rPr>
        <w:t xml:space="preserve"> and </w:t>
      </w:r>
      <w:r>
        <w:rPr>
          <w:rFonts w:ascii="Times New Roman" w:hAnsi="Times New Roman"/>
          <w:color w:val="000000"/>
          <w:sz w:val="20"/>
          <w:u w:val="single"/>
        </w:rPr>
        <w:t>(ii)</w:t>
      </w:r>
      <w:r>
        <w:rPr>
          <w:rFonts w:ascii="Times New Roman" w:hAnsi="Times New Roman"/>
          <w:color w:val="000000"/>
          <w:sz w:val="20"/>
        </w:rPr>
        <w: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52</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(d)  In furtherance and not in limitation of the foregoing, each of the parties hereto agrees to, and to cause its Affiliates to, (i) make an appropriate filing of a Notification and Report Form pursuant to the HSR Act and the requisite filings described in Section 3.04(e) of the Company Disclosure Letter with respect to the Transactions as promptly as reasonably practicable following the date of this Agreement (and, in the case of the filing pursuant to the HSR Act, in any event within fifteen (15) Business Days following the date hereof), (ii) respond as promptly as reasonably practicable, to any requests for additional information and documentary material that may be requested pursuant to the HSR Act or any other applicable Law and (iii) promptly take any and all steps necessary to avoid or eliminate each and every impediment and obtain all consents under any Laws that may be required by any foreign or U.S. federal, state or local Governmental Authority, in each case with competent jurisdiction, so as to enable the parties hereto to consummate the Transactions.  Without limiting the foregoing, but subject to </w:t>
      </w:r>
      <w:r>
        <w:rPr>
          <w:rFonts w:ascii="Times New Roman" w:hAnsi="Times New Roman"/>
          <w:color w:val="000000"/>
          <w:sz w:val="20"/>
          <w:u w:val="single"/>
        </w:rPr>
        <w:t>Section 5.03(e)</w:t>
      </w:r>
      <w:r>
        <w:rPr>
          <w:rFonts w:ascii="Times New Roman" w:hAnsi="Times New Roman"/>
          <w:color w:val="000000"/>
          <w:sz w:val="20"/>
        </w:rPr>
        <w:t>, each of Parent and the Company shall use reasonable best efforts to promptly take, and cause its Affiliates to take, all actions necessary to secure the expiration or termination of any applicable waiting period under the HSR Act or any other applicable Law and resolve any objections asserted with respect to the Transactions under any applicable Law raised by any Governmental Authority, in order to prevent the entry of, or to have vacated, lifted, reversed or overturned, any Restraint that would prevent, prohibit, restrict or delay the consummation of the Transactions, including (A) executing settlements, undertakings, consent decrees, stipulations or other agreements with any Governmental Authority or with any other Person, (B) selling, divesting or otherwise conveying or holding separate particular assets or categories of assets or businesses of Parent, its Subsidiaries or any Affiliate of the foregoing, (C) agreeing to sell, divest or otherwise convey or hold separate any particular assets or categories of assets or businesses of the Company and its Subsidiaries contemporaneously with or subsequent to the Effective Time, (D) permitting the Company to sell, divest or otherwise convey or hold separate any of the particular assets or categories of assets or businesses of the Company, any of its Subsidiaries or Affiliated Professional Entities prior to the Effective Time, (E) terminating existing relationships, contractual rights or obligations of (x) the Company or its Affiliates or (y) Parent, its Subsidiaries or any Affiliate of the foregoing, (F) creating any relationship, contractual right, license or obligation of (x) the Company, its Affiliates or Affiliated Professional Entities or (y) Parent, its Subsidiaries or any Affiliate of the foregoing,  (G) effectuating any other change or restructuring of (x) the Company, its Affiliates or Affiliated Professional Entities or (y) Parent, its Subsidiaries or any Affiliate of the foregoing or (H) limiting, or agreeing to limit, Parent’s (or any of its Subsidiaries’ or Affiliates’) freedom of action (and, in each case, entering into agreements or stipulating to the entry of any Judgment by, or filing appropriate applications with, the Federal Trade Commission (the “</w:t>
      </w:r>
      <w:r>
        <w:rPr>
          <w:rFonts w:ascii="Times New Roman" w:hAnsi="Times New Roman"/>
          <w:color w:val="000000"/>
          <w:sz w:val="20"/>
          <w:u w:val="single"/>
        </w:rPr>
        <w:t>FTC</w:t>
      </w:r>
      <w:r>
        <w:rPr>
          <w:rFonts w:ascii="Times New Roman" w:hAnsi="Times New Roman"/>
          <w:color w:val="000000"/>
          <w:sz w:val="20"/>
        </w:rPr>
        <w:t>”), the Antitrust Division of the Department of Justice (the “</w:t>
      </w:r>
      <w:r>
        <w:rPr>
          <w:rFonts w:ascii="Times New Roman" w:hAnsi="Times New Roman"/>
          <w:color w:val="000000"/>
          <w:sz w:val="20"/>
          <w:u w:val="single"/>
        </w:rPr>
        <w:t>DOJ</w:t>
      </w:r>
      <w:r>
        <w:rPr>
          <w:rFonts w:ascii="Times New Roman" w:hAnsi="Times New Roman"/>
          <w:color w:val="000000"/>
          <w:sz w:val="20"/>
        </w:rPr>
        <w:t xml:space="preserve">”) or any other Governmental Authority in connection with any of the foregoing and, in the case of actions by or with respect to the Company, by consenting to such action by the Company) (any such action described in </w:t>
      </w:r>
      <w:r>
        <w:rPr>
          <w:rFonts w:ascii="Times New Roman" w:hAnsi="Times New Roman"/>
          <w:color w:val="000000"/>
          <w:sz w:val="20"/>
          <w:u w:val="single"/>
        </w:rPr>
        <w:t>clauses (A)</w:t>
      </w:r>
      <w:r>
        <w:rPr>
          <w:rFonts w:ascii="Times New Roman" w:hAnsi="Times New Roman"/>
          <w:color w:val="000000"/>
          <w:sz w:val="20"/>
        </w:rPr>
        <w:t xml:space="preserve"> through </w:t>
      </w:r>
      <w:r>
        <w:rPr>
          <w:rFonts w:ascii="Times New Roman" w:hAnsi="Times New Roman"/>
          <w:color w:val="000000"/>
          <w:sz w:val="20"/>
          <w:u w:val="single"/>
        </w:rPr>
        <w:t>(H)</w:t>
      </w:r>
      <w:r>
        <w:rPr>
          <w:rFonts w:ascii="Times New Roman" w:hAnsi="Times New Roman"/>
          <w:color w:val="000000"/>
          <w:sz w:val="20"/>
        </w:rPr>
        <w:t>, a “</w:t>
      </w:r>
      <w:r>
        <w:rPr>
          <w:rFonts w:ascii="Times New Roman" w:hAnsi="Times New Roman"/>
          <w:color w:val="000000"/>
          <w:sz w:val="20"/>
          <w:u w:val="single"/>
        </w:rPr>
        <w:t>Restriction</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that any such action is conditioned upon the Closing.  Parent and the Company shall use reasonable best efforts to respond to and seek to resolve as promptly as reasonably practicable any objections asserted by any Governmental Authority with respect to the Transactions.  Each of the Company, Parent and Merger Sub shall not knowingly take (and each of the Company and Parent shall cause their respective Affiliates or Affiliated Professional Entities not to knowingly take) any action with the intention to, or that would reasonably be expected to, materially hinder or materially delay the expiration or termination of any waiting period under the HSR Act or the obtaining of approval of the DOJ or FTC or any other Governmental Authority as necessary.  Neither Parent nor the Company shall (and shall cause their respective Affiliates or Affiliated Professional Entities not to) commit to or agree with any Governmental Authority to stay, toll or extend any applicable waiting period under the HSR Act or any other applicable Laws, pull and refile under the HSR Act more than once, or any</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53</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other applicable Laws or enter into a timing agreement with any Governmental Authority, without the prior written consent of the other party (such consent may be provided by email and shall not be unreasonably withheld, delayed or conditioned).  In addition and without limiting the foregoing, Parent and Company shall not, and Parent shall cause its Affiliates not to, effect or agree to any business combination (whether structured as a merger, business combination, tender offer, exchange offer or similar transaction) with, or the acquisition of any assets, licenses, rights, product lines, operations or businesses of, any Person that would reasonably be expected to materially hinder or materially delay the consummation of the Transactions.</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(e)  Notwithstanding the foregoing or anything else contained in this Agreement to the contrary, nothing in this </w:t>
      </w:r>
      <w:r>
        <w:rPr>
          <w:rFonts w:ascii="Times New Roman" w:hAnsi="Times New Roman"/>
          <w:color w:val="000000"/>
          <w:sz w:val="20"/>
          <w:u w:val="single"/>
        </w:rPr>
        <w:t>Section 5.03</w:t>
      </w:r>
      <w:r>
        <w:rPr>
          <w:rFonts w:ascii="Times New Roman" w:hAnsi="Times New Roman"/>
          <w:color w:val="000000"/>
          <w:sz w:val="20"/>
        </w:rPr>
        <w:t xml:space="preserve"> or otherwise in this Agreement shall (i) require Parent, any of its Affiliates or any of its Subsidiaries or the Company, any of its Subsidiaries or any of the Affiliated Professional Entities or (ii) permit the Company, any of its Subsidiaries or any of the Affiliated Professional Entities, without the prior written consent of Parent, to discuss, negotiate, agree to, accept or undertake (or to consent to the Company, any of its Subsidiaries or any of the Affiliated Professional Entities agreeing to, accepting or undertaking) any Restriction that would reasonably be expected to be material to the Company, its Subsidiaries and the Affiliated Professional Entities, taken as a whole.</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(f)  In furtherance and not in limitation of the foregoing, each of the parties hereto shall use (and shall cause their respective Affiliates to use) reasonable best efforts to (i) promptly cooperate in all respects with each other in connection with any necessary, proper or advisable submissions, consents, approvals, filings, petitions, statements, licenses, permits, authorizations, declarations, notifications, registrations, submissions of information, applications, reports, waivers, exemptions, clearances, orders, confirmations and other documents with the FTC, the DOJ or any other Governmental Authority in connection with the Transactions and in connection with any investigation or other inquiry by or before the FTC, the DOJ or any other Governmental Authority relating to the Transactions or any proceeding initiated by a private Person relating to the Transactions, (ii) keep the other parties hereto promptly and fully informed in all material respects of any written or verbal communication received by such party from, or given by such party to, the FTC, the DOJ or any other Governmental Authority (including by promptly sending the other parties a copy of all documents, information, correspondence or other communications) and of any material written or verbal communication received or given in connection with any proceeding by a private Person, in each case regarding any of the Transactions; provided, however, that such material may be redacted or provided on an outside counsel only basis as necessary (x) to address reasonable legal privilege concerns or contractual confidentiality obligations or (y) to comply with applicable Law, (iii) subject to applicable Laws and the Confidentiality Agreement relating to the exchange of information, and to the extent reasonably practicable, promptly consult with the other parties hereto with respect to information relating to the other parties hereto and their respective Affiliates, as the case may be, that appears in any filing made with, or written materials submitted to, any third Person or the FTC, the DOJ or any other Governmental Authority in connection with the Transactions, other than “Transaction-Related Documents” as that term is used in the rules and regulations under the HSR Act and (iv) to the extent permitted by the FTC, the DOJ or such other applicable Governmental Authority or other Person, promptly give the other parties hereto the opportunity to attend and participate in such meetings and conferences (whether in person, by telephone or otherwise). Prior to submitting any document or any information relating to the Transactions or the parties (whether formally or informally, in draft form or final form) to the FTC, the DOJ or any other Governmental Authority, a party shall send the other parties such document or information reasonably in advance of such submission and, consistent with </w:t>
      </w:r>
      <w:r>
        <w:rPr>
          <w:rFonts w:ascii="Times New Roman" w:hAnsi="Times New Roman"/>
          <w:color w:val="000000"/>
          <w:sz w:val="20"/>
          <w:u w:val="single"/>
        </w:rPr>
        <w:t>Section 5.03(c)</w:t>
      </w:r>
      <w:r>
        <w:rPr>
          <w:rFonts w:ascii="Times New Roman" w:hAnsi="Times New Roman"/>
          <w:color w:val="000000"/>
          <w:sz w:val="20"/>
        </w:rPr>
        <w:t>, permit the other parties hereto to review and discuss in advance, and consider in good faith the view of the other in connection with, any proposed written or oral communications with or information to any Governmental Authority.</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54</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5.04.  </w:t>
      </w:r>
      <w:r>
        <w:rPr>
          <w:rFonts w:ascii="Times New Roman" w:hAnsi="Times New Roman"/>
          <w:color w:val="000000"/>
          <w:sz w:val="20"/>
          <w:u w:val="single"/>
        </w:rPr>
        <w:t>Public Announcements</w:t>
      </w:r>
      <w:r>
        <w:rPr>
          <w:rFonts w:ascii="Times New Roman" w:hAnsi="Times New Roman"/>
          <w:color w:val="000000"/>
          <w:sz w:val="20"/>
        </w:rPr>
        <w:t xml:space="preserve">.  Unless and until an Adverse Recommendation Change has occurred, Parent and the Company shall consult (and shall cause their respective Affiliates to consult) with each other before issuing, and give each other the opportunity to review and comment upon, any press release or other public statements with respect to the Transactions, and shall not issue any such press release or make any such public statement prior to such consultation, except as may be required by applicable Law, Judgment, court process or the rules and regulations of any national securities exchange or national securities quotation system and except for any matters referred to in </w:t>
      </w:r>
      <w:r>
        <w:rPr>
          <w:rFonts w:ascii="Times New Roman" w:hAnsi="Times New Roman"/>
          <w:color w:val="000000"/>
          <w:sz w:val="20"/>
          <w:u w:val="single"/>
        </w:rPr>
        <w:t>Section 5.02</w:t>
      </w:r>
      <w:r>
        <w:rPr>
          <w:rFonts w:ascii="Times New Roman" w:hAnsi="Times New Roman"/>
          <w:color w:val="000000"/>
          <w:sz w:val="20"/>
        </w:rPr>
        <w:t>.  The parties hereto agree that the initial press release to be issued with respect to the Transactions following execution of this Agreement shall be in the form heretofore agreed to by the parties hereto (the “</w:t>
      </w:r>
      <w:r>
        <w:rPr>
          <w:rFonts w:ascii="Times New Roman" w:hAnsi="Times New Roman"/>
          <w:color w:val="000000"/>
          <w:sz w:val="20"/>
          <w:u w:val="single"/>
        </w:rPr>
        <w:t>Announcement</w:t>
      </w:r>
      <w:r>
        <w:rPr>
          <w:rFonts w:ascii="Times New Roman" w:hAnsi="Times New Roman"/>
          <w:color w:val="000000"/>
          <w:sz w:val="20"/>
        </w:rPr>
        <w:t xml:space="preserve">”).  Notwithstanding the foregoing, this </w:t>
      </w:r>
      <w:r>
        <w:rPr>
          <w:rFonts w:ascii="Times New Roman" w:hAnsi="Times New Roman"/>
          <w:color w:val="000000"/>
          <w:sz w:val="20"/>
          <w:u w:val="single"/>
        </w:rPr>
        <w:t>Section 5.04</w:t>
      </w:r>
      <w:r>
        <w:rPr>
          <w:rFonts w:ascii="Times New Roman" w:hAnsi="Times New Roman"/>
          <w:color w:val="000000"/>
          <w:sz w:val="20"/>
        </w:rPr>
        <w:t xml:space="preserve"> shall not apply to any press release or other public statement made by the Company or Parent (a) which is consistent with the Announcement and the terms of this Agreement and does not contain any information relating to the Company, Parent or the Transactions that has not been previously announced or made public in accordance with the terms of this Agreement or (b) is made in the ordinary course of business and does not relate specifically to the signing of this Agreement or the Transactions.</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5.05.  </w:t>
      </w:r>
      <w:r>
        <w:rPr>
          <w:rFonts w:ascii="Times New Roman" w:hAnsi="Times New Roman"/>
          <w:color w:val="000000"/>
          <w:sz w:val="20"/>
          <w:u w:val="single"/>
        </w:rPr>
        <w:t>Access to Information; Confidentiality</w:t>
      </w:r>
      <w:r>
        <w:rPr>
          <w:rFonts w:ascii="Times New Roman" w:hAnsi="Times New Roman"/>
          <w:color w:val="000000"/>
          <w:sz w:val="20"/>
        </w:rPr>
        <w:t xml:space="preserve">.  Subject to applicable Law and any applicable Judgment, between the date of this Agreement and the earlier of the Effective Time and the termination of this Agreement pursuant to </w:t>
      </w:r>
      <w:r>
        <w:rPr>
          <w:rFonts w:ascii="Times New Roman" w:hAnsi="Times New Roman"/>
          <w:color w:val="000000"/>
          <w:sz w:val="20"/>
          <w:u w:val="single"/>
        </w:rPr>
        <w:t>Section 7.01</w:t>
      </w:r>
      <w:r>
        <w:rPr>
          <w:rFonts w:ascii="Times New Roman" w:hAnsi="Times New Roman"/>
          <w:color w:val="000000"/>
          <w:sz w:val="20"/>
        </w:rPr>
        <w:t xml:space="preserve">, upon reasonable notice, the Company shall afford to Parent and Parent’s Representatives reasonable access during normal business hours to the Company’s and its Subsidiaries’ and the Affiliated Professional Entities’ officers, employees, agents, properties, books, Contracts and records (other than any of the foregoing that relate to the negotiation and execution of this Agreement, or, except as expressly provided in </w:t>
      </w:r>
      <w:r>
        <w:rPr>
          <w:rFonts w:ascii="Times New Roman" w:hAnsi="Times New Roman"/>
          <w:color w:val="000000"/>
          <w:sz w:val="20"/>
          <w:u w:val="single"/>
        </w:rPr>
        <w:t>Section 5.02</w:t>
      </w:r>
      <w:r>
        <w:rPr>
          <w:rFonts w:ascii="Times New Roman" w:hAnsi="Times New Roman"/>
          <w:color w:val="000000"/>
          <w:sz w:val="20"/>
        </w:rPr>
        <w:t xml:space="preserve">, to any Takeover Proposal or any other transactions potentially competing with or alternative to the Transactions or proposals from other parties relating to any competing or alternative transactions or relating to any deliberation of the Board of Directors of the Company or any duly authorized committee thereof regarding any Takeover Proposal or Adverse Recommendation Change) and the Company shall furnish promptly to Parent and Parent’s Representatives such information concerning its and its Subsidiaries’ and the Affiliated Professional Entities’ business, personnel, assets, liabilities and properties as Parent may reasonably request (other than any information that the Company determines in its reasonable judgment relates to the negotiation and execution of this Agreement, or, except as expressly provided in </w:t>
      </w:r>
      <w:r>
        <w:rPr>
          <w:rFonts w:ascii="Times New Roman" w:hAnsi="Times New Roman"/>
          <w:color w:val="000000"/>
          <w:sz w:val="20"/>
          <w:u w:val="single"/>
        </w:rPr>
        <w:t>Section 5.02</w:t>
      </w:r>
      <w:r>
        <w:rPr>
          <w:rFonts w:ascii="Times New Roman" w:hAnsi="Times New Roman"/>
          <w:color w:val="000000"/>
          <w:sz w:val="20"/>
        </w:rPr>
        <w:t xml:space="preserve">, to any Takeover Proposal or any other transactions potentially competing with or alternative to the Transactions or proposals from other parties relating to any competing or alternative transactions or relating to any deliberation of the Board of Directors of the Company or any duly authorized committee thereof regarding any Takeover Proposal or Adverse Recommendation Change), in each case, for any reasonable purpose in connection with the consummation of the Transactions (including for integration planning); </w:t>
      </w:r>
      <w:r>
        <w:rPr>
          <w:rFonts w:ascii="Times New Roman" w:hAnsi="Times New Roman"/>
          <w:color w:val="000000"/>
          <w:sz w:val="20"/>
          <w:u w:val="single"/>
        </w:rPr>
        <w:t>provided</w:t>
      </w:r>
      <w:r>
        <w:rPr>
          <w:rFonts w:ascii="Times New Roman" w:hAnsi="Times New Roman"/>
          <w:color w:val="000000"/>
          <w:sz w:val="20"/>
        </w:rPr>
        <w:t xml:space="preserve"> that Parent and its Representatives shall conduct any such activities in such a manner as not to interfere unreasonably with the business or operations of the Company;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(a) the Company shall not be obligated to provide such access or information if the Company determines, in its reasonable judgment, that doing so would reasonably be expected to (i) result in the disclosure of Proprietary Information or competitively sensitive information to third parties, (ii) violate applicable Law, an applicable Judgment or a Contract or obligation of confidentiality owing to a third party, (iii) jeopardize the protection of an attorney-client privilege, attorney work product protection or other legal privilege, (iv) be materially adverse to the interests of the Company or any of its Subsidiaries or any of the Affiliated Professional Entities in any pending or threatened Action or (v) expose the Company to risk of liability for disclosure of sensitive or personal information and (b) such access shall not include any right to conduct any intrusive or invasive sampling or testing of any environmental media, or any building, fixture or equipment, at any real property leased by the Company or any of its Subsidiaries.  All requests for information made pursuant to this </w:t>
      </w:r>
      <w:r>
        <w:rPr>
          <w:rFonts w:ascii="Times New Roman" w:hAnsi="Times New Roman"/>
          <w:color w:val="000000"/>
          <w:sz w:val="20"/>
          <w:u w:val="single"/>
        </w:rPr>
        <w:t>Section 5.05</w:t>
      </w:r>
      <w:r>
        <w:rPr>
          <w:rFonts w:ascii="Times New Roman" w:hAnsi="Times New Roman"/>
          <w:color w:val="000000"/>
          <w:sz w:val="20"/>
        </w:rPr>
        <w:t xml:space="preserve"> shall be directed to the executive officer or other Person designated by the Company.  Until the Effective Time, all information provided will be subject to the terms of the letter agreement dated as of October 22, 2025, by and among the Company and UHS of Delaware, Inc. (the “</w:t>
      </w:r>
      <w:r>
        <w:rPr>
          <w:rFonts w:ascii="Times New Roman" w:hAnsi="Times New Roman"/>
          <w:color w:val="000000"/>
          <w:sz w:val="20"/>
          <w:u w:val="single"/>
        </w:rPr>
        <w:t>Confidentiality Agreement</w:t>
      </w:r>
      <w:r>
        <w:rPr>
          <w:rFonts w:ascii="Times New Roman" w:hAnsi="Times New Roman"/>
          <w:color w:val="000000"/>
          <w:sz w:val="20"/>
        </w:rPr>
        <w: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55</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5.06.  </w:t>
      </w:r>
      <w:r>
        <w:rPr>
          <w:rFonts w:ascii="Times New Roman" w:hAnsi="Times New Roman"/>
          <w:color w:val="000000"/>
          <w:sz w:val="20"/>
          <w:u w:val="single"/>
        </w:rPr>
        <w:t>Indemnification and Insurance</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(a)  From and after the Effective Time, the Surviving Corporation shall, and Parent shall cause the Surviving Corporation to, in each case, to the fullest extent permissible by applicable Law, (i) indemnify and hold harmless each current or former director or officer of the Company or its Subsidiaries and each other Person who immediately prior to the Effective Time was indemnified or was required to be indemnified by the Company or its Subsidiaries pursuant to the Company Charter Documents and the organizational documents of such Subsidiaries as in effect on the date of this Agreement or in any agreement in existence as of the date of this Agreement providing for indemnification or advancement of expenses between the Company or any of its Subsidiaries and such Person (each, an “</w:t>
      </w:r>
      <w:r>
        <w:rPr>
          <w:rFonts w:ascii="Times New Roman" w:hAnsi="Times New Roman"/>
          <w:color w:val="000000"/>
          <w:sz w:val="20"/>
          <w:u w:val="single"/>
        </w:rPr>
        <w:t>Indemnitee</w:t>
      </w:r>
      <w:r>
        <w:rPr>
          <w:rFonts w:ascii="Times New Roman" w:hAnsi="Times New Roman"/>
          <w:color w:val="000000"/>
          <w:sz w:val="20"/>
        </w:rPr>
        <w:t>” and, collectively, the “</w:t>
      </w:r>
      <w:r>
        <w:rPr>
          <w:rFonts w:ascii="Times New Roman" w:hAnsi="Times New Roman"/>
          <w:color w:val="000000"/>
          <w:sz w:val="20"/>
          <w:u w:val="single"/>
        </w:rPr>
        <w:t>Indemnitees</w:t>
      </w:r>
      <w:r>
        <w:rPr>
          <w:rFonts w:ascii="Times New Roman" w:hAnsi="Times New Roman"/>
          <w:color w:val="000000"/>
          <w:sz w:val="20"/>
        </w:rPr>
        <w:t xml:space="preserve">”) with respect to all claims, liabilities, losses, damages, judgments, fines, penalties, costs (including amounts paid in settlement or compromise) and expenses (including fees and expenses of legal counsel) in connection with any Action (whether civil, criminal, administrative or investigative), whenever asserted, based on or arising out of, in whole or in part, (A) the fact that an Indemnitee is or was a member, director, manager, officer, employee or agent of the Company or such Subsidiary or (B) acts or omissions by an Indemnitee in the Indemnitee’s capacity as a member, director, manager, officer, employee or agent of the Company or such Subsidiary or taken at the request of the Company or such Subsidiary (including in connection with serving at the request of the Company or such Subsidiary as a representative of another Person (including any employee benefit plan)), in each case under </w:t>
      </w:r>
      <w:r>
        <w:rPr>
          <w:rFonts w:ascii="Times New Roman" w:hAnsi="Times New Roman"/>
          <w:color w:val="000000"/>
          <w:sz w:val="20"/>
          <w:u w:val="single"/>
        </w:rPr>
        <w:t>clause (A)</w:t>
      </w:r>
      <w:r>
        <w:rPr>
          <w:rFonts w:ascii="Times New Roman" w:hAnsi="Times New Roman"/>
          <w:color w:val="000000"/>
          <w:sz w:val="20"/>
        </w:rPr>
        <w:t xml:space="preserve"> or </w:t>
      </w:r>
      <w:r>
        <w:rPr>
          <w:rFonts w:ascii="Times New Roman" w:hAnsi="Times New Roman"/>
          <w:color w:val="000000"/>
          <w:sz w:val="20"/>
          <w:u w:val="single"/>
        </w:rPr>
        <w:t>(B)</w:t>
      </w:r>
      <w:r>
        <w:rPr>
          <w:rFonts w:ascii="Times New Roman" w:hAnsi="Times New Roman"/>
          <w:color w:val="000000"/>
          <w:sz w:val="20"/>
        </w:rPr>
        <w:t>, at, or at any time prior to, the Effective Time (including any Action relating in whole or in part to the Transactions or relating to the enforcement of this provision or any other indemnification or expense advancement right of any Indemnitee) and (ii) assume (in the case of the Surviving Corporation, in the Merger without any further action) all obligations of the Company and such Subsidiaries to the Indemnitees in respect of indemnification, advancement of expenses and exculpation from liabilities for acts or omissions occurring at or prior to the Effective Time as provided in the Company Charter Documents and the organizational documents of such Subsidiaries as in effect on the date of this Agreement or in any agreement in existence as of the date of this Agreement providing for indemnification or advancement of expenses between the Company or any of its Subsidiaries and any Indemnitee, in each case, as in effect on the date of this Agreement.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56</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(b)  Without limiting the foregoing, from and after the Effective Time, to the fullest extent permissible by applicable Law, Parent shall cause the certificate of incorporation and bylaws of the Surviving Corporation, and the Surviving Corporation shall cause the organizational documents of its Subsidiaries, to contain provisions no less favorable to the Indemnitees with respect to limitation of liabilities, indemnification and exculpation, in each case, than are set forth as of the date of this Agreement in the Company Charter Documents and the organizational documents of such Subsidiaries as in effect on the date of this Agreement, which provisions shall not be amended, repealed or otherwise modified in a manner that would adversely affect the rights thereunder of any of the Indemnitees.  In addition, from the Effective Time, Parent shall cause the Surviving Corporation to, without requiring a preliminary determination of entitlement to indemnification, advance any reasonable and documented out-of-pocket expenses (including reasonable fees and expenses of legal counsel) of any Indemnitee in accordance with this </w:t>
      </w:r>
      <w:r>
        <w:rPr>
          <w:rFonts w:ascii="Times New Roman" w:hAnsi="Times New Roman"/>
          <w:color w:val="000000"/>
          <w:sz w:val="20"/>
          <w:u w:val="single"/>
        </w:rPr>
        <w:t>Section 5.06</w:t>
      </w:r>
      <w:r>
        <w:rPr>
          <w:rFonts w:ascii="Times New Roman" w:hAnsi="Times New Roman"/>
          <w:color w:val="000000"/>
          <w:sz w:val="20"/>
        </w:rPr>
        <w:t xml:space="preserve"> (including in connection with enforcing the indemnity and other obligations referred to in this </w:t>
      </w:r>
      <w:r>
        <w:rPr>
          <w:rFonts w:ascii="Times New Roman" w:hAnsi="Times New Roman"/>
          <w:color w:val="000000"/>
          <w:sz w:val="20"/>
          <w:u w:val="single"/>
        </w:rPr>
        <w:t>Section 5.06</w:t>
      </w:r>
      <w:r>
        <w:rPr>
          <w:rFonts w:ascii="Times New Roman" w:hAnsi="Times New Roman"/>
          <w:color w:val="000000"/>
          <w:sz w:val="20"/>
        </w:rPr>
        <w:t xml:space="preserve">) as incurred to the fullest extent permitted under applicable Law;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such Indemnitee shall be required to provide a written undertaking to repay such amounts if it is ultimately determined in a final non-appealable judgment that such Indemnitee is not entitled to be indemnified under applicable Law.</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(c)  None of Parent, the Surviving Corporation or any of its Subsidiaries shall settle, compromise or consent to the entry of any judgment in any threatened or actual litigation, claim or proceeding relating to any acts or omissions covered under this </w:t>
      </w:r>
      <w:r>
        <w:rPr>
          <w:rFonts w:ascii="Times New Roman" w:hAnsi="Times New Roman"/>
          <w:color w:val="000000"/>
          <w:sz w:val="20"/>
          <w:u w:val="single"/>
        </w:rPr>
        <w:t>Section 5.06</w:t>
      </w:r>
      <w:r>
        <w:rPr>
          <w:rFonts w:ascii="Times New Roman" w:hAnsi="Times New Roman"/>
          <w:color w:val="000000"/>
          <w:sz w:val="20"/>
        </w:rPr>
        <w:t xml:space="preserve"> (each, a “</w:t>
      </w:r>
      <w:r>
        <w:rPr>
          <w:rFonts w:ascii="Times New Roman" w:hAnsi="Times New Roman"/>
          <w:color w:val="000000"/>
          <w:sz w:val="20"/>
          <w:u w:val="single"/>
        </w:rPr>
        <w:t>Claim</w:t>
      </w:r>
      <w:r>
        <w:rPr>
          <w:rFonts w:ascii="Times New Roman" w:hAnsi="Times New Roman"/>
          <w:color w:val="000000"/>
          <w:sz w:val="20"/>
        </w:rPr>
        <w:t>”) for which indemnification would reasonably be expected to be sought by an Indemnitee hereunder, unless such settlement, compromise or consent includes an unconditional release of such Indemnitee from all liability arising out of such Claim or such Indemnitee otherwise consents in writing to such settlement, compromise or consent.</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(d)  For the six-year period commencing immediately after the Effective Time, the Surviving Corporation shall, and the Parent shall cause the Surviving Corporation to, maintain in effect the Company’s current directors’ and officers’ liability insurance covering acts or omissions occurring at or prior to the Effective Time with respect to those individuals who are currently (and any additional individuals who prior to the Effective Time become) covered by the Company’s directors’ and officers’ liability insurance policies on terms and scope with respect to such coverage, and in an amount, no less favorable to such individuals than those of such policy in effect on the date of this Agreement (or Parent may substitute therefor policies, issued by reputable insurers, of at least the same coverage with respect to matters existing or occurring prior to the Effective Time, including a “tail” policy); </w:t>
      </w:r>
      <w:r>
        <w:rPr>
          <w:rFonts w:ascii="Times New Roman" w:hAnsi="Times New Roman"/>
          <w:color w:val="000000"/>
          <w:sz w:val="20"/>
          <w:u w:val="single"/>
        </w:rPr>
        <w:t>provided</w:t>
      </w:r>
      <w:r>
        <w:rPr>
          <w:rFonts w:ascii="Times New Roman" w:hAnsi="Times New Roman"/>
          <w:color w:val="000000"/>
          <w:sz w:val="20"/>
        </w:rPr>
        <w:t xml:space="preserve"> that in no event shall Parent or the Surviving Corporation be required to expend for such policy an aggregate amount in excess of 300% of the current annual premium paid by the Company for such insurance.  The Company shall have the right prior to the Effective Time to purchase a six-year prepaid “tail policy” on terms and conditions providing at least substantially equivalent benefits as the current policies of directors’ and officers’ liability insurance maintained by the Company and its Subsidiaries with respect to matters existing or occurring prior to the Effective Time, covering without limitation the Transactions, subject to the cap described in the immediately preceding sentence.  If such prepaid “tail policy” has been obtained by the Company, it shall be deemed to satisfy all obligations to obtain insurance pursuant to this </w:t>
      </w:r>
      <w:r>
        <w:rPr>
          <w:rFonts w:ascii="Times New Roman" w:hAnsi="Times New Roman"/>
          <w:color w:val="000000"/>
          <w:sz w:val="20"/>
          <w:u w:val="single"/>
        </w:rPr>
        <w:t>Section 5.06(d)</w:t>
      </w:r>
      <w:r>
        <w:rPr>
          <w:rFonts w:ascii="Times New Roman" w:hAnsi="Times New Roman"/>
          <w:color w:val="000000"/>
          <w:sz w:val="20"/>
        </w:rPr>
        <w:t xml:space="preserve"> and the Surviving Corporation shall, and the Parent shall cause the Surviving Corporation to, use reasonable best efforts to cause such policy to be maintained in full force and effect, for its full term, and to honor all of its obligations thereunder.</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57</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(e)  The provisions of this </w:t>
      </w:r>
      <w:r>
        <w:rPr>
          <w:rFonts w:ascii="Times New Roman" w:hAnsi="Times New Roman"/>
          <w:color w:val="000000"/>
          <w:sz w:val="20"/>
          <w:u w:val="single"/>
        </w:rPr>
        <w:t>Section 5.06</w:t>
      </w:r>
      <w:r>
        <w:rPr>
          <w:rFonts w:ascii="Times New Roman" w:hAnsi="Times New Roman"/>
          <w:color w:val="000000"/>
          <w:sz w:val="20"/>
        </w:rPr>
        <w:t xml:space="preserve"> are (i) intended to be for the benefit of, and shall be enforceable by, each Indemnitee, his or her heirs and his or her representatives and (ii) in addition to, and not in substitution for, any other rights to indemnification or contribution that any such individual may have under the Company Charter Documents or the organizational documents of the Company’s Subsidiaries as in effect on the date of this Agreement or by contract or otherwise.  The obligations of Parent and the Surviving Corporation under this </w:t>
      </w:r>
      <w:r>
        <w:rPr>
          <w:rFonts w:ascii="Times New Roman" w:hAnsi="Times New Roman"/>
          <w:color w:val="000000"/>
          <w:sz w:val="20"/>
          <w:u w:val="single"/>
        </w:rPr>
        <w:t>Section 5.06</w:t>
      </w:r>
      <w:r>
        <w:rPr>
          <w:rFonts w:ascii="Times New Roman" w:hAnsi="Times New Roman"/>
          <w:color w:val="000000"/>
          <w:sz w:val="20"/>
        </w:rPr>
        <w:t xml:space="preserve"> shall not be terminated or modified in such a manner as to adversely affect the rights of any Indemnitee to whom this </w:t>
      </w:r>
      <w:r>
        <w:rPr>
          <w:rFonts w:ascii="Times New Roman" w:hAnsi="Times New Roman"/>
          <w:color w:val="000000"/>
          <w:sz w:val="20"/>
          <w:u w:val="single"/>
        </w:rPr>
        <w:t>Section 5.06</w:t>
      </w:r>
      <w:r>
        <w:rPr>
          <w:rFonts w:ascii="Times New Roman" w:hAnsi="Times New Roman"/>
          <w:color w:val="000000"/>
          <w:sz w:val="20"/>
        </w:rPr>
        <w:t xml:space="preserve"> applies unless (x) such termination or modification is required by applicable Law or (y) the affected Indemnitee shall have consented in writing to such termination or modification (it being expressly agreed that the Indemnitees to whom this </w:t>
      </w:r>
      <w:r>
        <w:rPr>
          <w:rFonts w:ascii="Times New Roman" w:hAnsi="Times New Roman"/>
          <w:color w:val="000000"/>
          <w:sz w:val="20"/>
          <w:u w:val="single"/>
        </w:rPr>
        <w:t>Section 5.06</w:t>
      </w:r>
      <w:r>
        <w:rPr>
          <w:rFonts w:ascii="Times New Roman" w:hAnsi="Times New Roman"/>
          <w:color w:val="000000"/>
          <w:sz w:val="20"/>
        </w:rPr>
        <w:t xml:space="preserve"> applies and each Indemnitee’s heirs and representatives shall be third-party beneficiaries of this </w:t>
      </w:r>
      <w:r>
        <w:rPr>
          <w:rFonts w:ascii="Times New Roman" w:hAnsi="Times New Roman"/>
          <w:color w:val="000000"/>
          <w:sz w:val="20"/>
          <w:u w:val="single"/>
        </w:rPr>
        <w:t>Section 5.06</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(f)  In the event that (i) Parent, the Surviving Corporation or any of their respective successors or assigns (A) consolidates with or merges into any other Person and is not the continuing or surviving corporation or entity of such consolidation or merger or (B) transfers or conveys all or substantially all of its properties and assets to any Person or (ii) Parent or any of its successors or assigns dissolves the Surviving Corporation, then, in each such case, proper provision shall be made so that the successors and assigns of Parent or the Surviving Corporation shall assume all of the obligations thereof set forth in this </w:t>
      </w:r>
      <w:r>
        <w:rPr>
          <w:rFonts w:ascii="Times New Roman" w:hAnsi="Times New Roman"/>
          <w:color w:val="000000"/>
          <w:sz w:val="20"/>
          <w:u w:val="single"/>
        </w:rPr>
        <w:t>Section 5.06</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(g)  Nothing in this Agreement is intended to, shall be construed to or shall release, waive or impair any rights to directors’ and officers’ insurance claims under any policy that is or has been in existence with respect to the Company or any of its Subsidiaries for any of their respective directors, officers or other employees, it being understood and agreed that the indemnification provided for in this </w:t>
      </w:r>
      <w:r>
        <w:rPr>
          <w:rFonts w:ascii="Times New Roman" w:hAnsi="Times New Roman"/>
          <w:color w:val="000000"/>
          <w:sz w:val="20"/>
          <w:u w:val="single"/>
        </w:rPr>
        <w:t>Section 5.06</w:t>
      </w:r>
      <w:r>
        <w:rPr>
          <w:rFonts w:ascii="Times New Roman" w:hAnsi="Times New Roman"/>
          <w:color w:val="000000"/>
          <w:sz w:val="20"/>
        </w:rPr>
        <w:t xml:space="preserve"> is not prior to or in substitution for any such claims under such policies.</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(h)  Parent’s and the Surviving Corporation’s obligations under this </w:t>
      </w:r>
      <w:r>
        <w:rPr>
          <w:rFonts w:ascii="Times New Roman" w:hAnsi="Times New Roman"/>
          <w:color w:val="000000"/>
          <w:sz w:val="20"/>
          <w:u w:val="single"/>
        </w:rPr>
        <w:t>Section 5.06</w:t>
      </w:r>
      <w:r>
        <w:rPr>
          <w:rFonts w:ascii="Times New Roman" w:hAnsi="Times New Roman"/>
          <w:color w:val="000000"/>
          <w:sz w:val="20"/>
        </w:rPr>
        <w:t xml:space="preserve"> shall only continue in full force and effect for a period of six years from the Effective Time;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if any Claim (whether arising before, at or after the Effective Time) is brought against an Indemnitee on or prior to the sixth anniversary of the Effective Time, the provisions of this </w:t>
      </w:r>
      <w:r>
        <w:rPr>
          <w:rFonts w:ascii="Times New Roman" w:hAnsi="Times New Roman"/>
          <w:color w:val="000000"/>
          <w:sz w:val="20"/>
          <w:u w:val="single"/>
        </w:rPr>
        <w:t>Section 5.06</w:t>
      </w:r>
      <w:r>
        <w:rPr>
          <w:rFonts w:ascii="Times New Roman" w:hAnsi="Times New Roman"/>
          <w:color w:val="000000"/>
          <w:sz w:val="20"/>
        </w:rPr>
        <w:t xml:space="preserve"> shall continue in effect until the full and final resolution of such Claim.</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5.07.  </w:t>
      </w:r>
      <w:r>
        <w:rPr>
          <w:rFonts w:ascii="Times New Roman" w:hAnsi="Times New Roman"/>
          <w:color w:val="000000"/>
          <w:sz w:val="20"/>
          <w:u w:val="single"/>
        </w:rPr>
        <w:t>Employee Matters</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(a)  For a period of twelve (12) months following the Effective Time (such period, the “</w:t>
      </w:r>
      <w:r>
        <w:rPr>
          <w:rFonts w:ascii="Times New Roman" w:hAnsi="Times New Roman"/>
          <w:color w:val="000000"/>
          <w:sz w:val="20"/>
          <w:u w:val="single"/>
        </w:rPr>
        <w:t>Comparability Period</w:t>
      </w:r>
      <w:r>
        <w:rPr>
          <w:rFonts w:ascii="Times New Roman" w:hAnsi="Times New Roman"/>
          <w:color w:val="000000"/>
          <w:sz w:val="20"/>
        </w:rPr>
        <w:t>”), Parent shall, and shall cause the Surviving Corporation and its Subsidiaries to, (i) provide a base salary or wage rate, as applicable, and short- and long-term incentive opportunities (excluding equity purchase, equity and equity-based compensation opportunities and change of control or similar type transaction bonuses) to each Person who is an employee of the Company or any of its Subsidiaries immediately prior to the Effective Time (each, a “</w:t>
      </w:r>
      <w:r>
        <w:rPr>
          <w:rFonts w:ascii="Times New Roman" w:hAnsi="Times New Roman"/>
          <w:color w:val="000000"/>
          <w:sz w:val="20"/>
          <w:u w:val="single"/>
        </w:rPr>
        <w:t>Continuing Employee</w:t>
      </w:r>
      <w:r>
        <w:rPr>
          <w:rFonts w:ascii="Times New Roman" w:hAnsi="Times New Roman"/>
          <w:color w:val="000000"/>
          <w:sz w:val="20"/>
        </w:rPr>
        <w:t>”) that are, in each case, no less favorable than those in effect immediately prior to the Effective Time, (ii) provide severance benefits to each Continuing Employee that are no less favorable than those that would have been provided to such Continuing Employee under the applicable severance benefit plans, programs, policies, agreements and arrangements as in effect immediately prior to the Effective Time (after giving effect to any provisions relating to a “change in control”, “change of control” or other term of similar import), (iii) provide employee benefit plans and arrangements (other than (x) base salary, wage rate, short- and long-term incentive opportunities, severance and retention benefits, equity purchase, equity and equity-based compensation benefits, change in control, defined benefit, post-retirement or retiree medical benefits and (y) loans to employees for educational purposes, for purposes of satisfying withholding tax in connection with equity awards or for any other purpose) to each Continuing Employee that are substantially comparable in the aggregate to those provided to such Continuing Employee immediately prior to the Effective Time and (iv) starting January 1, 2027, provide equity purchase, equity, and equity-based compensation opportunities to each Continuing Employee that are substantially comparable to those provided to similarly situated employees of Parent with comparable levels of seniority and responsibilities.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58</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(b)  With respect to all employee benefit plans of Parent, the Surviving Corporation and their respective Subsidiaries in which Continuing Employees are eligible to participate from and after the Effective Time, including any “employee benefit plan” (as defined in Section 3(3) of ERISA) (including any vacation, paid time-off and severance plans), for all purposes, including determining eligibility to participate, level of benefits, vesting, benefit accruals (other than accruals under any defined benefit pension plan unless otherwise required by a Collective Bargaining Agreement) and early retirement subsidies, each Continuing Employee’s service with the Company or any of its Subsidiaries (as well as service with any predecessor employer of the Company or any such Subsidiary, to the extent service with the predecessor employer was recognized by the Company or such Subsidiary) shall be treated as service with Parent, the Surviving Corporation or any of their respective Subsidiaries;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such service need not be recognized (i) to the extent that such recognition would result in any duplication of benefits for the same period of service and (ii) with respect to Parent’s stock purchase plan offerings.</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(c)  Without limiting the generality of </w:t>
      </w:r>
      <w:r>
        <w:rPr>
          <w:rFonts w:ascii="Times New Roman" w:hAnsi="Times New Roman"/>
          <w:color w:val="000000"/>
          <w:sz w:val="20"/>
          <w:u w:val="single"/>
        </w:rPr>
        <w:t>Section 5.07(a)</w:t>
      </w:r>
      <w:r>
        <w:rPr>
          <w:rFonts w:ascii="Times New Roman" w:hAnsi="Times New Roman"/>
          <w:color w:val="000000"/>
          <w:sz w:val="20"/>
        </w:rPr>
        <w:t>, Parent shall use reasonable best efforts, or use reasonable best efforts to cause the Surviving Corporation and its Subsidiaries to, waive, or cause to be waived, any pre-existing condition limitations, exclusions, actively-at-work requirements and waiting periods under any welfare benefit plan maintained by Parent, the Surviving Corporation or any of their respective Subsidiaries in which Continuing Employees (and their eligible dependents) will be eligible to participate from and after the Effective Time, except to the extent that such pre-existing condition limitations, exclusions, actively-at-work requirements and waiting periods would not have been satisfied or waived under the comparable Company Plan immediately prior to the Effective Time.</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(d)  For each Continuing Employee who is eligible to receive an annual cash bonus in accordance with the terms of the applicable bonus plan or arrangement, Parent shall cause the Surviving Corporation and its Subsidiaries to pay such Continuing Employee a cash bonus payment for the year in which the Closing Date occurs (if such Continuing Employee remains employed on the date such payment is to be made) in accordance with the terms of such applicable bonus plan or arrangement.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59</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(e)  The provisions of this </w:t>
      </w:r>
      <w:r>
        <w:rPr>
          <w:rFonts w:ascii="Times New Roman" w:hAnsi="Times New Roman"/>
          <w:color w:val="000000"/>
          <w:sz w:val="20"/>
          <w:u w:val="single"/>
        </w:rPr>
        <w:t>Section 5.07</w:t>
      </w:r>
      <w:r>
        <w:rPr>
          <w:rFonts w:ascii="Times New Roman" w:hAnsi="Times New Roman"/>
          <w:color w:val="000000"/>
          <w:sz w:val="20"/>
        </w:rPr>
        <w:t xml:space="preserve"> are solely for the benefit of the parties to this Agreement, and no provision of this </w:t>
      </w:r>
      <w:r>
        <w:rPr>
          <w:rFonts w:ascii="Times New Roman" w:hAnsi="Times New Roman"/>
          <w:color w:val="000000"/>
          <w:sz w:val="20"/>
          <w:u w:val="single"/>
        </w:rPr>
        <w:t>Section 5.07</w:t>
      </w:r>
      <w:r>
        <w:rPr>
          <w:rFonts w:ascii="Times New Roman" w:hAnsi="Times New Roman"/>
          <w:color w:val="000000"/>
          <w:sz w:val="20"/>
        </w:rPr>
        <w:t xml:space="preserve"> is intended to, or shall constitute the establishment or adoption of, or an amendment to, any employee benefit plan for purposes of ERISA or otherwise and, except as otherwise explicitly provided for in this Agreement, no current or former employee or any other individual associated therewith shall be regarded for any purpose as a third-party beneficiary of this Agreement or have the right to enforce the provisions hereof or have the right to continued employment.</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5.08.  </w:t>
      </w:r>
      <w:r>
        <w:rPr>
          <w:rFonts w:ascii="Times New Roman" w:hAnsi="Times New Roman"/>
          <w:color w:val="000000"/>
          <w:sz w:val="20"/>
          <w:u w:val="single"/>
        </w:rPr>
        <w:t>Notification of Certain Matters; Stockholder Litigation</w:t>
      </w:r>
      <w:r>
        <w:rPr>
          <w:rFonts w:ascii="Times New Roman" w:hAnsi="Times New Roman"/>
          <w:color w:val="000000"/>
          <w:sz w:val="20"/>
        </w:rPr>
        <w:t xml:space="preserve">.  Prior to the Effective Time, Parent shall give prompt notice to the Company, and the Company shall give prompt notice to Parent, of (a) the occurrence or non-occurrence of any event whose occurrence or non-occurrence, as the case may be, would be likely to cause any representation or warranty contained in this Agreement to be untrue or inaccurate as if made as of any time prior to the Effective Time, such that the conditions set forth in </w:t>
      </w:r>
      <w:r>
        <w:rPr>
          <w:rFonts w:ascii="Times New Roman" w:hAnsi="Times New Roman"/>
          <w:color w:val="000000"/>
          <w:sz w:val="20"/>
          <w:u w:val="single"/>
        </w:rPr>
        <w:t>Section 6.02(a)</w:t>
      </w:r>
      <w:r>
        <w:rPr>
          <w:rFonts w:ascii="Times New Roman" w:hAnsi="Times New Roman"/>
          <w:color w:val="000000"/>
          <w:sz w:val="20"/>
        </w:rPr>
        <w:t xml:space="preserve"> or </w:t>
      </w:r>
      <w:r>
        <w:rPr>
          <w:rFonts w:ascii="Times New Roman" w:hAnsi="Times New Roman"/>
          <w:color w:val="000000"/>
          <w:sz w:val="20"/>
          <w:u w:val="single"/>
        </w:rPr>
        <w:t>Section 6.03(a)</w:t>
      </w:r>
      <w:r>
        <w:rPr>
          <w:rFonts w:ascii="Times New Roman" w:hAnsi="Times New Roman"/>
          <w:color w:val="000000"/>
          <w:sz w:val="20"/>
        </w:rPr>
        <w:t>, as applicable, would not be satisfied, (b) to the extent permitted under applicable Law, any notice or other communication received by such party from any Governmental Authority in connection with this Agreement or the Transactions or from any Person alleging that the consent of such Person is or may be required in connection with the Transactions and (c) any Actions commenced or, to such party’s Knowledge, threatened against such party (or its directors, officers, Subsidiaries, Affiliates or Affiliated Professional Entities) which relates to this Agreement or the Transactions.  The Company shall (i) give Parent the opportunity to participate in the defense and settlement of any stockholder litigation against the Company or the Company’s directors or officers relating to this Agreement or the Transactions, (ii) keep Parent reasonably and promptly informed of the status of and any material developments with respect to any such litigation (whether or not Parent exercises its right to participate in the defense of such litigation), (iii) give Parent the right to review and comment on all material filings or responses made by the Company in connection with any such litigation and (iv) not settle or provide any payment or other compensation with respect to any stockholder demand or litigation against the Company or the Company’s directors or officers relating to this Agreement or the Transactions without Parent’s prior written consent (such consent not to be unreasonably withheld, delayed or conditioned).</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5.09.  </w:t>
      </w:r>
      <w:r>
        <w:rPr>
          <w:rFonts w:ascii="Times New Roman" w:hAnsi="Times New Roman"/>
          <w:color w:val="000000"/>
          <w:sz w:val="20"/>
          <w:u w:val="single"/>
        </w:rPr>
        <w:t>Merger Sub Expenditures and Distributions</w:t>
      </w:r>
      <w:r>
        <w:rPr>
          <w:rFonts w:ascii="Times New Roman" w:hAnsi="Times New Roman"/>
          <w:color w:val="000000"/>
          <w:sz w:val="20"/>
        </w:rPr>
        <w:t>.  From the date of this Agreement until the Effective Time, Merger Sub shall not expend funds other than in connection with the Transactions and the payment of related expenses.</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5.10.  </w:t>
      </w:r>
      <w:r>
        <w:rPr>
          <w:rFonts w:ascii="Times New Roman" w:hAnsi="Times New Roman"/>
          <w:color w:val="000000"/>
          <w:sz w:val="20"/>
          <w:u w:val="single"/>
        </w:rPr>
        <w:t>Parent Vote</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(a)  Parent shall vote or cause to be voted any shares of Company Common Stock beneficially owned by it or any of its Affiliates or with respect to which it or any of its Affiliates has the power (by agreement, proxy or otherwise) to cause to be voted, in favor of the approval of this Agreement at any meeting of stockholders of the Company at which this Agreement shall be submitted for approval and at all adjournments or postponements thereof.</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60</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(b)  Immediately following the execution and delivery of this Agreement, Parent, in its capacity as the sole stockholder of Merger Sub, will execute and deliver to Merger Sub and the Company a written consent adopting this Agreement in accordance with the DGCL.</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5.11.  </w:t>
      </w:r>
      <w:r>
        <w:rPr>
          <w:rFonts w:ascii="Times New Roman" w:hAnsi="Times New Roman"/>
          <w:color w:val="000000"/>
          <w:sz w:val="20"/>
          <w:u w:val="single"/>
        </w:rPr>
        <w:t>Stock Exchange De-listing</w:t>
      </w:r>
      <w:r>
        <w:rPr>
          <w:rFonts w:ascii="Times New Roman" w:hAnsi="Times New Roman"/>
          <w:color w:val="000000"/>
          <w:sz w:val="20"/>
        </w:rPr>
        <w:t>.  Parent shall use reasonable best efforts to cause the shares of Company Common Stock and the Company Warrants to be de-listed from NASDAQ and de-registered under the Exchange Act as soon as reasonably practicable following the Effective Time.</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5.12.  </w:t>
      </w:r>
      <w:r>
        <w:rPr>
          <w:rFonts w:ascii="Times New Roman" w:hAnsi="Times New Roman"/>
          <w:color w:val="000000"/>
          <w:sz w:val="20"/>
          <w:u w:val="single"/>
        </w:rPr>
        <w:t>Preparation of the Proxy Statement; Stockholders’ Meeting</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(a)  As promptly as reasonably practicable after the execution of this Agreement (and in any event within twenty (20) Business Days of the date hereof) and subject to applicable Law, the Company shall prepare the Proxy Statement in preliminary form and file it with the SEC.  Subject to </w:t>
      </w:r>
      <w:r>
        <w:rPr>
          <w:rFonts w:ascii="Times New Roman" w:hAnsi="Times New Roman"/>
          <w:color w:val="000000"/>
          <w:sz w:val="20"/>
          <w:u w:val="single"/>
        </w:rPr>
        <w:t>Section 5.02</w:t>
      </w:r>
      <w:r>
        <w:rPr>
          <w:rFonts w:ascii="Times New Roman" w:hAnsi="Times New Roman"/>
          <w:color w:val="000000"/>
          <w:sz w:val="20"/>
        </w:rPr>
        <w:t>, the Board of Directors of the Company shall make the Company Board Recommendation to the stockholders of the Company and shall include such recommendation in the Proxy Statement.  Parent shall provide to the Company all information concerning Parent, Merger Sub and their respective Affiliates as may be reasonably requested by the Company in connection with the Proxy Statement and shall otherwise reasonably assist and cooperate with the Company in the preparation of the Proxy Statement and the resolution of any comments thereto received from the SEC.  Each of the Company, Parent and Merger Sub shall correct any information provided by it for use in the Proxy Statement as promptly as reasonably practicable if and to the extent such information contains any untrue statement of a material fact or omits to state any material fact required to be stated therein or necessary to make the statements therein, in the light of the circumstances under which they were made, not misleading.  The Company shall notify Parent promptly upon the receipt of any comments from the SEC and of any request by the SEC for amendments or supplements to the Proxy Statement and shall supply Parent with copies of all written correspondence between the Company or any of its Representatives, on the one hand, and the SEC, on the other hand, with respect to the Proxy Statement.  The Company shall use reasonable best efforts to respond as promptly as reasonably practicable to any comments received from the SEC concerning the Proxy Statement and to resolve such comments with the SEC, and shall use reasonable best efforts to cause the Proxy Statement to be disseminated to its stockholders as promptly as reasonably practicable (and in any event within seven (7) calendar days after the earlier of (i) the date the SEC confirms that it has no further comments to the Proxy Statement or (ii) if there is or has been no review of the Proxy Statement by the SEC, the expiration of the SEC review period therefor (such earlier date, the “</w:t>
      </w:r>
      <w:r>
        <w:rPr>
          <w:rFonts w:ascii="Times New Roman" w:hAnsi="Times New Roman"/>
          <w:color w:val="000000"/>
          <w:sz w:val="20"/>
          <w:u w:val="single"/>
        </w:rPr>
        <w:t>SEC Clearance Date</w:t>
      </w:r>
      <w:r>
        <w:rPr>
          <w:rFonts w:ascii="Times New Roman" w:hAnsi="Times New Roman"/>
          <w:color w:val="000000"/>
          <w:sz w:val="20"/>
        </w:rPr>
        <w:t>”)).  Prior to the filing of the Proxy Statement (or any amendment or supplement thereto) or any dissemination thereof to the stockholders of the Company, or responding to any comments from the SEC with respect thereto, the Company shall provide Parent with a reasonable opportunity to review and to propose comments on such document or response, which the Company shall consider in good faith.</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(b)  Notwithstanding any Adverse Recommendation Change but subject to </w:t>
      </w:r>
      <w:r>
        <w:rPr>
          <w:rFonts w:ascii="Times New Roman" w:hAnsi="Times New Roman"/>
          <w:color w:val="000000"/>
          <w:sz w:val="20"/>
          <w:u w:val="single"/>
        </w:rPr>
        <w:t>Section 5.12(a)</w:t>
      </w:r>
      <w:r>
        <w:rPr>
          <w:rFonts w:ascii="Times New Roman" w:hAnsi="Times New Roman"/>
          <w:color w:val="000000"/>
          <w:sz w:val="20"/>
        </w:rPr>
        <w:t xml:space="preserve"> and applicable Law and to the extent not prohibited by any Judgment, the Company shall take all necessary actions in accordance with applicable Law, the Company Charter Documents and the rules of NASDAQ to duly call, give notice of, convene and hold a meeting of its stockholders (including any adjournment, recess or postponement thereof, the “</w:t>
      </w:r>
      <w:r>
        <w:rPr>
          <w:rFonts w:ascii="Times New Roman" w:hAnsi="Times New Roman"/>
          <w:color w:val="000000"/>
          <w:sz w:val="20"/>
          <w:u w:val="single"/>
        </w:rPr>
        <w:t>Company Stockholders’ Meeting</w:t>
      </w:r>
      <w:r>
        <w:rPr>
          <w:rFonts w:ascii="Times New Roman" w:hAnsi="Times New Roman"/>
          <w:color w:val="000000"/>
          <w:sz w:val="20"/>
        </w:rPr>
        <w:t xml:space="preserve">”) for the purpose of obtaining the Company Stockholder Approval, as soon as reasonably practicable after the SEC Clearance Date.  Subject to </w:t>
      </w:r>
      <w:r>
        <w:rPr>
          <w:rFonts w:ascii="Times New Roman" w:hAnsi="Times New Roman"/>
          <w:color w:val="000000"/>
          <w:sz w:val="20"/>
          <w:u w:val="single"/>
        </w:rPr>
        <w:t>Section 5.02</w:t>
      </w:r>
      <w:r>
        <w:rPr>
          <w:rFonts w:ascii="Times New Roman" w:hAnsi="Times New Roman"/>
          <w:color w:val="000000"/>
          <w:sz w:val="20"/>
        </w:rPr>
        <w:t xml:space="preserve">, the Company shall use reasonable best efforts to obtain the Company Stockholder Approval.  Notwithstanding anything to the contrary contained in this Agreement, the Company may, in its reasonable discretion after consultation with Parent, adjourn, recess or postpone the Company Stockholders’ Meeting only (A) to allow reasonable additional time for the filing or mailing of any supplement or amendment to the Proxy Statement that the Board of Directors of the Company has determined in good faith (after consultation with outside legal counsel) is required under applicable Law and for such supplement or amendment to be disseminated and reviewed by the stockholders of the Company in advance of the Company Stockholders’ Meeting, (B) to the extent required by a court of competent jurisdiction in connection with any proceedings in connection with this Agreement or the Transactions, (C) if as of the time for which the Company Stockholders’ Meeting is originally scheduled (as set forth in the Proxy Statement) there are insufficient shares of Company Common Stock represented (either in person or by proxy) to constitute a quorum necessary to conduct the business of the Company Stockholders’ Meeting or (D) to solicit additional proxies for the purpose of obtaining the Company Stockholder Approval, and in each case only for the minimum duration necessary to remedy the circumstances giving rise thereto;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in the case of </w:t>
      </w:r>
      <w:r>
        <w:rPr>
          <w:rFonts w:ascii="Times New Roman" w:hAnsi="Times New Roman"/>
          <w:color w:val="000000"/>
          <w:sz w:val="20"/>
          <w:u w:val="single"/>
        </w:rPr>
        <w:t>clauses (A)</w:t>
      </w:r>
      <w:r>
        <w:rPr>
          <w:rFonts w:ascii="Times New Roman" w:hAnsi="Times New Roman"/>
          <w:color w:val="000000"/>
          <w:sz w:val="20"/>
        </w:rPr>
        <w:t xml:space="preserve">, </w:t>
      </w:r>
      <w:r>
        <w:rPr>
          <w:rFonts w:ascii="Times New Roman" w:hAnsi="Times New Roman"/>
          <w:color w:val="000000"/>
          <w:sz w:val="20"/>
          <w:u w:val="single"/>
        </w:rPr>
        <w:t>(C)</w:t>
      </w:r>
      <w:r>
        <w:rPr>
          <w:rFonts w:ascii="Times New Roman" w:hAnsi="Times New Roman"/>
          <w:color w:val="000000"/>
          <w:sz w:val="20"/>
        </w:rPr>
        <w:t xml:space="preserve"> and </w:t>
      </w:r>
      <w:r>
        <w:rPr>
          <w:rFonts w:ascii="Times New Roman" w:hAnsi="Times New Roman"/>
          <w:color w:val="000000"/>
          <w:sz w:val="20"/>
          <w:u w:val="single"/>
        </w:rPr>
        <w:t>(D)</w:t>
      </w:r>
      <w:r>
        <w:rPr>
          <w:rFonts w:ascii="Times New Roman" w:hAnsi="Times New Roman"/>
          <w:color w:val="000000"/>
          <w:sz w:val="20"/>
        </w:rPr>
        <w:t>, in no event shall the Company Stockholders’ Meeting be held later than thirty (30) calendar days after the date on which the Company Stockholders’ Meeting was originally scheduled (excluding any adjournments required by applicable Law) without the consent of Parent (such consent not to be unreasonably withheld, delayed or conditioned).</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61</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(c)  Nothing in this </w:t>
      </w:r>
      <w:r>
        <w:rPr>
          <w:rFonts w:ascii="Times New Roman" w:hAnsi="Times New Roman"/>
          <w:color w:val="000000"/>
          <w:sz w:val="20"/>
          <w:u w:val="single"/>
        </w:rPr>
        <w:t>Section 5.12</w:t>
      </w:r>
      <w:r>
        <w:rPr>
          <w:rFonts w:ascii="Times New Roman" w:hAnsi="Times New Roman"/>
          <w:color w:val="000000"/>
          <w:sz w:val="20"/>
        </w:rPr>
        <w:t xml:space="preserve"> shall be deemed to prevent the Company or the Board of Directors of the Company or any duly authorized committee thereof from taking any action they are permitted or required to take under, and in compliance with, </w:t>
      </w:r>
      <w:r>
        <w:rPr>
          <w:rFonts w:ascii="Times New Roman" w:hAnsi="Times New Roman"/>
          <w:color w:val="000000"/>
          <w:sz w:val="20"/>
          <w:u w:val="single"/>
        </w:rPr>
        <w:t>Section 5.02</w:t>
      </w:r>
      <w:r>
        <w:rPr>
          <w:rFonts w:ascii="Times New Roman" w:hAnsi="Times New Roman"/>
          <w:color w:val="000000"/>
          <w:sz w:val="20"/>
        </w:rPr>
        <w:t xml:space="preserve"> or applicable Law.</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5.13.  </w:t>
      </w:r>
      <w:r>
        <w:rPr>
          <w:rFonts w:ascii="Times New Roman" w:hAnsi="Times New Roman"/>
          <w:color w:val="000000"/>
          <w:sz w:val="20"/>
          <w:u w:val="single"/>
        </w:rPr>
        <w:t>Section 16 Matters</w:t>
      </w:r>
      <w:r>
        <w:rPr>
          <w:rFonts w:ascii="Times New Roman" w:hAnsi="Times New Roman"/>
          <w:color w:val="000000"/>
          <w:sz w:val="20"/>
        </w:rPr>
        <w:t>.  Prior to the Effective Time, the Company shall take all actions reasonably necessary or advisable to cause the dispositions of equity securities of the Company (including any derivative securities) pursuant to the Merger and the other Transactions by each individual who is an officer or director of the Company subject to Section 16 of the Exchange Act to be exempt pursuant to Rule 16b-3 promulgated under the Exchange Act.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ARTICLE VI</w:t>
        <w:br/>
        <w:br/>
      </w:r>
      <w:r>
        <w:rPr>
          <w:rFonts w:ascii="Times New Roman" w:hAnsi="Times New Roman"/>
          <w:color w:val="000000"/>
          <w:sz w:val="20"/>
          <w:u w:val="single"/>
        </w:rPr>
        <w:t>Conditions to the Merger</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6.01.  </w:t>
      </w:r>
      <w:r>
        <w:rPr>
          <w:rFonts w:ascii="Times New Roman" w:hAnsi="Times New Roman"/>
          <w:color w:val="000000"/>
          <w:sz w:val="20"/>
          <w:u w:val="single"/>
        </w:rPr>
        <w:t>Conditions to Each Party’s Obligation To Effect the Merger</w:t>
      </w:r>
      <w:r>
        <w:rPr>
          <w:rFonts w:ascii="Times New Roman" w:hAnsi="Times New Roman"/>
          <w:color w:val="000000"/>
          <w:sz w:val="20"/>
        </w:rPr>
        <w:t>.  The respective obligations of each party hereto to effect the Merger shall be subject to the satisfaction (or written waiver by each party hereto, if permissible under applicable Law) on or prior to the Closing Date of the following conditions:</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(a)  </w:t>
      </w:r>
      <w:r>
        <w:rPr>
          <w:rFonts w:ascii="Times New Roman" w:hAnsi="Times New Roman"/>
          <w:color w:val="000000"/>
          <w:sz w:val="20"/>
          <w:u w:val="single"/>
        </w:rPr>
        <w:t>No Restraints</w:t>
      </w:r>
      <w:r>
        <w:rPr>
          <w:rFonts w:ascii="Times New Roman" w:hAnsi="Times New Roman"/>
          <w:color w:val="000000"/>
          <w:sz w:val="20"/>
        </w:rPr>
        <w:t>.  No applicable Law and no Judgment enacted, promulgated, issued, entered, amended or enforced by any Governmental Authority of competent jurisdiction (collectively, “</w:t>
      </w:r>
      <w:r>
        <w:rPr>
          <w:rFonts w:ascii="Times New Roman" w:hAnsi="Times New Roman"/>
          <w:color w:val="000000"/>
          <w:sz w:val="20"/>
          <w:u w:val="single"/>
        </w:rPr>
        <w:t>Restraints</w:t>
      </w:r>
      <w:r>
        <w:rPr>
          <w:rFonts w:ascii="Times New Roman" w:hAnsi="Times New Roman"/>
          <w:color w:val="000000"/>
          <w:sz w:val="20"/>
        </w:rPr>
        <w:t>”) in the U.S. shall be in effect enjoining, restraining or otherwise making illegal, preventing or prohibiting the consummation of the Merger;</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62</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(b)  </w:t>
      </w:r>
      <w:r>
        <w:rPr>
          <w:rFonts w:ascii="Times New Roman" w:hAnsi="Times New Roman"/>
          <w:color w:val="000000"/>
          <w:sz w:val="20"/>
          <w:u w:val="single"/>
        </w:rPr>
        <w:t>HSR</w:t>
      </w:r>
      <w:r>
        <w:rPr>
          <w:rFonts w:ascii="Times New Roman" w:hAnsi="Times New Roman"/>
          <w:color w:val="000000"/>
          <w:sz w:val="20"/>
        </w:rPr>
        <w:t>.  The waiting period (and any extension thereof) applicable to the consummation of the Merger under the HSR Act shall have expired or been terminated;</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(c)  </w:t>
      </w:r>
      <w:r>
        <w:rPr>
          <w:rFonts w:ascii="Times New Roman" w:hAnsi="Times New Roman"/>
          <w:color w:val="000000"/>
          <w:sz w:val="20"/>
          <w:u w:val="single"/>
        </w:rPr>
        <w:t>Company Stockholder Approval</w:t>
      </w:r>
      <w:r>
        <w:rPr>
          <w:rFonts w:ascii="Times New Roman" w:hAnsi="Times New Roman"/>
          <w:color w:val="000000"/>
          <w:sz w:val="20"/>
        </w:rPr>
        <w:t>.  The Company Stockholder Approval shall have been obtained; and</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(d)  </w:t>
      </w:r>
      <w:r>
        <w:rPr>
          <w:rFonts w:ascii="Times New Roman" w:hAnsi="Times New Roman"/>
          <w:color w:val="000000"/>
          <w:sz w:val="20"/>
          <w:u w:val="single"/>
        </w:rPr>
        <w:t>State Healthcare Notifications</w:t>
      </w:r>
      <w:r>
        <w:rPr>
          <w:rFonts w:ascii="Times New Roman" w:hAnsi="Times New Roman"/>
          <w:color w:val="000000"/>
          <w:sz w:val="20"/>
        </w:rPr>
        <w:t>. The waiting periods (and any extension thereof) and any required approvals or authorizations applicable to the consummation of the Merger under state Healthcare Laws set forth on Section 3.04(e) of the Company Disclosure Letter shall have expired or been terminated or been obtained, respectively.</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6.02.  </w:t>
      </w:r>
      <w:r>
        <w:rPr>
          <w:rFonts w:ascii="Times New Roman" w:hAnsi="Times New Roman"/>
          <w:color w:val="000000"/>
          <w:sz w:val="20"/>
          <w:u w:val="single"/>
        </w:rPr>
        <w:t>Conditions to the Obligations of Parent and Merger Sub</w:t>
      </w:r>
      <w:r>
        <w:rPr>
          <w:rFonts w:ascii="Times New Roman" w:hAnsi="Times New Roman"/>
          <w:color w:val="000000"/>
          <w:sz w:val="20"/>
        </w:rPr>
        <w:t>.  The obligations of Parent and Merger Sub to effect the Merger shall be subject to the satisfaction (or written waiver by Parent, if permissible under applicable Law) on or prior to the Closing Date of the following conditions:</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(a)  </w:t>
      </w:r>
      <w:r>
        <w:rPr>
          <w:rFonts w:ascii="Times New Roman" w:hAnsi="Times New Roman"/>
          <w:color w:val="000000"/>
          <w:sz w:val="20"/>
          <w:u w:val="single"/>
        </w:rPr>
        <w:t>Representations and Warranties</w:t>
      </w:r>
      <w:r>
        <w:rPr>
          <w:rFonts w:ascii="Times New Roman" w:hAnsi="Times New Roman"/>
          <w:color w:val="000000"/>
          <w:sz w:val="20"/>
        </w:rPr>
        <w:t xml:space="preserve">.  The representations and warranties of the Company (i) set forth in </w:t>
      </w:r>
      <w:r>
        <w:rPr>
          <w:rFonts w:ascii="Times New Roman" w:hAnsi="Times New Roman"/>
          <w:color w:val="000000"/>
          <w:sz w:val="20"/>
          <w:u w:val="single"/>
        </w:rPr>
        <w:t>Section 3.02</w:t>
      </w:r>
      <w:r>
        <w:rPr>
          <w:rFonts w:ascii="Times New Roman" w:hAnsi="Times New Roman"/>
          <w:color w:val="000000"/>
          <w:sz w:val="20"/>
        </w:rPr>
        <w:t xml:space="preserve"> shall be true and correct in all respects as of the date of this Agreement and as of the Closing Date with the same effect as though made on and as of the Closing Date (except for any representation or warranty that is expressly made as of a specified date, in which case such representation or warranty shall be true and correct only as of such specified date), except for any inaccuracies that are </w:t>
      </w:r>
      <w:r>
        <w:rPr>
          <w:rFonts w:ascii="Times New Roman" w:hAnsi="Times New Roman"/>
          <w:i/>
          <w:color w:val="000000"/>
          <w:sz w:val="20"/>
        </w:rPr>
        <w:t>de minimis</w:t>
      </w:r>
      <w:r>
        <w:rPr>
          <w:rFonts w:ascii="Times New Roman" w:hAnsi="Times New Roman"/>
          <w:color w:val="000000"/>
          <w:sz w:val="20"/>
        </w:rPr>
        <w:t xml:space="preserve">, (ii) set forth in </w:t>
      </w:r>
      <w:r>
        <w:rPr>
          <w:rFonts w:ascii="Times New Roman" w:hAnsi="Times New Roman"/>
          <w:color w:val="000000"/>
          <w:sz w:val="20"/>
          <w:u w:val="single"/>
        </w:rPr>
        <w:t>Section 3.01(a)</w:t>
      </w:r>
      <w:r>
        <w:rPr>
          <w:rFonts w:ascii="Times New Roman" w:hAnsi="Times New Roman"/>
          <w:color w:val="000000"/>
          <w:sz w:val="20"/>
        </w:rPr>
        <w:t xml:space="preserve">, </w:t>
      </w:r>
      <w:r>
        <w:rPr>
          <w:rFonts w:ascii="Times New Roman" w:hAnsi="Times New Roman"/>
          <w:color w:val="000000"/>
          <w:sz w:val="20"/>
          <w:u w:val="single"/>
        </w:rPr>
        <w:t>Section 3.03(a)</w:t>
      </w:r>
      <w:r>
        <w:rPr>
          <w:rFonts w:ascii="Times New Roman" w:hAnsi="Times New Roman"/>
          <w:color w:val="000000"/>
          <w:sz w:val="20"/>
        </w:rPr>
        <w:t xml:space="preserve">, </w:t>
      </w:r>
      <w:r>
        <w:rPr>
          <w:rFonts w:ascii="Times New Roman" w:hAnsi="Times New Roman"/>
          <w:color w:val="000000"/>
          <w:sz w:val="20"/>
          <w:u w:val="single"/>
        </w:rPr>
        <w:t>Section 3.03(b)</w:t>
      </w:r>
      <w:r>
        <w:rPr>
          <w:rFonts w:ascii="Times New Roman" w:hAnsi="Times New Roman"/>
          <w:color w:val="000000"/>
          <w:sz w:val="20"/>
        </w:rPr>
        <w:t xml:space="preserve">, </w:t>
      </w:r>
      <w:r>
        <w:rPr>
          <w:rFonts w:ascii="Times New Roman" w:hAnsi="Times New Roman"/>
          <w:color w:val="000000"/>
          <w:sz w:val="20"/>
          <w:u w:val="single"/>
        </w:rPr>
        <w:t>Section 3.03(c)</w:t>
      </w:r>
      <w:r>
        <w:rPr>
          <w:rFonts w:ascii="Times New Roman" w:hAnsi="Times New Roman"/>
          <w:color w:val="000000"/>
          <w:sz w:val="20"/>
        </w:rPr>
        <w:t xml:space="preserve">, </w:t>
      </w:r>
      <w:r>
        <w:rPr>
          <w:rFonts w:ascii="Times New Roman" w:hAnsi="Times New Roman"/>
          <w:color w:val="000000"/>
          <w:sz w:val="20"/>
          <w:u w:val="single"/>
        </w:rPr>
        <w:t>Section 3.19</w:t>
      </w:r>
      <w:r>
        <w:rPr>
          <w:rFonts w:ascii="Times New Roman" w:hAnsi="Times New Roman"/>
          <w:color w:val="000000"/>
          <w:sz w:val="20"/>
        </w:rPr>
        <w:t xml:space="preserve"> and </w:t>
      </w:r>
      <w:r>
        <w:rPr>
          <w:rFonts w:ascii="Times New Roman" w:hAnsi="Times New Roman"/>
          <w:color w:val="000000"/>
          <w:sz w:val="20"/>
          <w:u w:val="single"/>
        </w:rPr>
        <w:t>Section 3.21</w:t>
      </w:r>
      <w:r>
        <w:rPr>
          <w:rFonts w:ascii="Times New Roman" w:hAnsi="Times New Roman"/>
          <w:color w:val="000000"/>
          <w:sz w:val="20"/>
        </w:rPr>
        <w:t xml:space="preserve"> shall be true and correct in all material respects as of the date of this Agreement and as of the Closing Date with the same effect as though made on and as of the Closing Date (except for any representation or warranty that is expressly made as of a specified date, in which case such representation or warranty shall be true and correct only as of such specified date) and (iii) set forth in this Agreement, other than those Sections specifically identified in the foregoing </w:t>
      </w:r>
      <w:r>
        <w:rPr>
          <w:rFonts w:ascii="Times New Roman" w:hAnsi="Times New Roman"/>
          <w:color w:val="000000"/>
          <w:sz w:val="20"/>
          <w:u w:val="single"/>
        </w:rPr>
        <w:t>clauses (i)</w:t>
      </w:r>
      <w:r>
        <w:rPr>
          <w:rFonts w:ascii="Times New Roman" w:hAnsi="Times New Roman"/>
          <w:color w:val="000000"/>
          <w:sz w:val="20"/>
        </w:rPr>
        <w:t xml:space="preserve"> and </w:t>
      </w:r>
      <w:r>
        <w:rPr>
          <w:rFonts w:ascii="Times New Roman" w:hAnsi="Times New Roman"/>
          <w:color w:val="000000"/>
          <w:sz w:val="20"/>
          <w:u w:val="single"/>
        </w:rPr>
        <w:t>(ii)</w:t>
      </w:r>
      <w:r>
        <w:rPr>
          <w:rFonts w:ascii="Times New Roman" w:hAnsi="Times New Roman"/>
          <w:color w:val="000000"/>
          <w:sz w:val="20"/>
        </w:rPr>
        <w:t xml:space="preserve">, shall be true and correct (disregarding all qualifications or limitations as to “materiality”, “Material Adverse Effect” and words of similar import set forth therein) as of the date of this Agreement and as of the Closing Date with the same effect as though made on and as of the Closing Date (except for any representation or warranty that is expressly made as of a specified date, in which case such representation or warranty shall be true and correct only as of such specified date), except, in the case of this </w:t>
      </w:r>
      <w:r>
        <w:rPr>
          <w:rFonts w:ascii="Times New Roman" w:hAnsi="Times New Roman"/>
          <w:color w:val="000000"/>
          <w:sz w:val="20"/>
          <w:u w:val="single"/>
        </w:rPr>
        <w:t>clause (iii)</w:t>
      </w:r>
      <w:r>
        <w:rPr>
          <w:rFonts w:ascii="Times New Roman" w:hAnsi="Times New Roman"/>
          <w:color w:val="000000"/>
          <w:sz w:val="20"/>
        </w:rPr>
        <w:t xml:space="preserve"> only, where the failure to be so true and correct would not, individually or in the aggregate, have a Material Adverse Effect.</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(b)  </w:t>
      </w:r>
      <w:r>
        <w:rPr>
          <w:rFonts w:ascii="Times New Roman" w:hAnsi="Times New Roman"/>
          <w:color w:val="000000"/>
          <w:sz w:val="20"/>
          <w:u w:val="single"/>
        </w:rPr>
        <w:t>Compliance with Covenants</w:t>
      </w:r>
      <w:r>
        <w:rPr>
          <w:rFonts w:ascii="Times New Roman" w:hAnsi="Times New Roman"/>
          <w:color w:val="000000"/>
          <w:sz w:val="20"/>
        </w:rPr>
        <w:t>.  The Company shall have complied with or performed in all material respects its obligations required to be complied with or performed by it at or prior to the Effective Time under this Agreement.</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(c)  </w:t>
      </w:r>
      <w:r>
        <w:rPr>
          <w:rFonts w:ascii="Times New Roman" w:hAnsi="Times New Roman"/>
          <w:color w:val="000000"/>
          <w:sz w:val="20"/>
          <w:u w:val="single"/>
        </w:rPr>
        <w:t>Material Adverse Effect</w:t>
      </w:r>
      <w:r>
        <w:rPr>
          <w:rFonts w:ascii="Times New Roman" w:hAnsi="Times New Roman"/>
          <w:color w:val="000000"/>
          <w:sz w:val="20"/>
        </w:rPr>
        <w:t>.  Since the date of this Agreement, no Material Adverse Effect shall have occurred and be continuing.</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63</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(d)  </w:t>
      </w:r>
      <w:r>
        <w:rPr>
          <w:rFonts w:ascii="Times New Roman" w:hAnsi="Times New Roman"/>
          <w:color w:val="000000"/>
          <w:sz w:val="20"/>
          <w:u w:val="single"/>
        </w:rPr>
        <w:t>Closing Certificate</w:t>
      </w:r>
      <w:r>
        <w:rPr>
          <w:rFonts w:ascii="Times New Roman" w:hAnsi="Times New Roman"/>
          <w:color w:val="000000"/>
          <w:sz w:val="20"/>
        </w:rPr>
        <w:t xml:space="preserve">.  Parent shall have received a certificate, dated as of the Closing Date, signed on behalf of the Company by an executive officer of the Company certifying that the conditions set forth in </w:t>
      </w:r>
      <w:r>
        <w:rPr>
          <w:rFonts w:ascii="Times New Roman" w:hAnsi="Times New Roman"/>
          <w:color w:val="000000"/>
          <w:sz w:val="20"/>
          <w:u w:val="single"/>
        </w:rPr>
        <w:t>Section 6.02(a)</w:t>
      </w:r>
      <w:r>
        <w:rPr>
          <w:rFonts w:ascii="Times New Roman" w:hAnsi="Times New Roman"/>
          <w:color w:val="000000"/>
          <w:sz w:val="20"/>
        </w:rPr>
        <w:t xml:space="preserve">, </w:t>
      </w:r>
      <w:r>
        <w:rPr>
          <w:rFonts w:ascii="Times New Roman" w:hAnsi="Times New Roman"/>
          <w:color w:val="000000"/>
          <w:sz w:val="20"/>
          <w:u w:val="single"/>
        </w:rPr>
        <w:t>Section 6.02(b)</w:t>
      </w:r>
      <w:r>
        <w:rPr>
          <w:rFonts w:ascii="Times New Roman" w:hAnsi="Times New Roman"/>
          <w:color w:val="000000"/>
          <w:sz w:val="20"/>
        </w:rPr>
        <w:t xml:space="preserve"> and </w:t>
      </w:r>
      <w:r>
        <w:rPr>
          <w:rFonts w:ascii="Times New Roman" w:hAnsi="Times New Roman"/>
          <w:color w:val="000000"/>
          <w:sz w:val="20"/>
          <w:u w:val="single"/>
        </w:rPr>
        <w:t>Section 6.02(c)</w:t>
      </w:r>
      <w:r>
        <w:rPr>
          <w:rFonts w:ascii="Times New Roman" w:hAnsi="Times New Roman"/>
          <w:color w:val="000000"/>
          <w:sz w:val="20"/>
        </w:rPr>
        <w:t xml:space="preserve"> have been satisfied.</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6.03.  </w:t>
      </w:r>
      <w:r>
        <w:rPr>
          <w:rFonts w:ascii="Times New Roman" w:hAnsi="Times New Roman"/>
          <w:color w:val="000000"/>
          <w:sz w:val="20"/>
          <w:u w:val="single"/>
        </w:rPr>
        <w:t>Conditions to the Obligations of the Company</w:t>
      </w:r>
      <w:r>
        <w:rPr>
          <w:rFonts w:ascii="Times New Roman" w:hAnsi="Times New Roman"/>
          <w:color w:val="000000"/>
          <w:sz w:val="20"/>
        </w:rPr>
        <w:t>.  The obligations of the Company to effect the Merger shall be subject to the satisfaction (or written waiver by the Company, if permissible under applicable Law) on or prior to the Closing Date of the following conditions:</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(a)  </w:t>
      </w:r>
      <w:r>
        <w:rPr>
          <w:rFonts w:ascii="Times New Roman" w:hAnsi="Times New Roman"/>
          <w:color w:val="000000"/>
          <w:sz w:val="20"/>
          <w:u w:val="single"/>
        </w:rPr>
        <w:t>Representations and Warranties</w:t>
      </w:r>
      <w:r>
        <w:rPr>
          <w:rFonts w:ascii="Times New Roman" w:hAnsi="Times New Roman"/>
          <w:color w:val="000000"/>
          <w:sz w:val="20"/>
        </w:rPr>
        <w:t>.  The representations and warranties of Parent and Merger Sub set forth in this Agreement shall be true and correct (disregarding all qualifications or limitations as to “materiality”, “Parent Material Adverse Effect” and words of similar import set forth therein) as of the date of this Agreement and as of the Closing Date with the same effect as though made on and as of the Closing Date (except for any representation or warranty that is expressly made as of a specified date, in which case such representation or warranty shall be true and correct only as of such specified date), except where the failure to be so true and correct would not, individually or in the aggregate, have a Parent Material Adverse Effect.</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(b)  </w:t>
      </w:r>
      <w:r>
        <w:rPr>
          <w:rFonts w:ascii="Times New Roman" w:hAnsi="Times New Roman"/>
          <w:color w:val="000000"/>
          <w:sz w:val="20"/>
          <w:u w:val="single"/>
        </w:rPr>
        <w:t>Compliance with Covenants</w:t>
      </w:r>
      <w:r>
        <w:rPr>
          <w:rFonts w:ascii="Times New Roman" w:hAnsi="Times New Roman"/>
          <w:color w:val="000000"/>
          <w:sz w:val="20"/>
        </w:rPr>
        <w:t>.  Parent and Merger Sub shall have complied with or performed in all material respects their obligations required to be complied with or performed by them at or prior to the Effective Time under this Agreement.</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(c)  </w:t>
      </w:r>
      <w:r>
        <w:rPr>
          <w:rFonts w:ascii="Times New Roman" w:hAnsi="Times New Roman"/>
          <w:color w:val="000000"/>
          <w:sz w:val="20"/>
          <w:u w:val="single"/>
        </w:rPr>
        <w:t>Closing Certificate</w:t>
      </w:r>
      <w:r>
        <w:rPr>
          <w:rFonts w:ascii="Times New Roman" w:hAnsi="Times New Roman"/>
          <w:color w:val="000000"/>
          <w:sz w:val="20"/>
        </w:rPr>
        <w:t xml:space="preserve">.  The Company shall have received a certificate, dated as of the Closing Date, signed on behalf of Parent and Merger Sub by an executive officer of Parent certifying that the conditions set forth in </w:t>
      </w:r>
      <w:r>
        <w:rPr>
          <w:rFonts w:ascii="Times New Roman" w:hAnsi="Times New Roman"/>
          <w:color w:val="000000"/>
          <w:sz w:val="20"/>
          <w:u w:val="single"/>
        </w:rPr>
        <w:t>Section 6.03(a)</w:t>
      </w:r>
      <w:r>
        <w:rPr>
          <w:rFonts w:ascii="Times New Roman" w:hAnsi="Times New Roman"/>
          <w:color w:val="000000"/>
          <w:sz w:val="20"/>
        </w:rPr>
        <w:t xml:space="preserve"> and </w:t>
      </w:r>
      <w:r>
        <w:rPr>
          <w:rFonts w:ascii="Times New Roman" w:hAnsi="Times New Roman"/>
          <w:color w:val="000000"/>
          <w:sz w:val="20"/>
          <w:u w:val="single"/>
        </w:rPr>
        <w:t>Section 6.03(b)</w:t>
      </w:r>
      <w:r>
        <w:rPr>
          <w:rFonts w:ascii="Times New Roman" w:hAnsi="Times New Roman"/>
          <w:color w:val="000000"/>
          <w:sz w:val="20"/>
        </w:rPr>
        <w:t xml:space="preserve"> have been satisfied.</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6.04.  </w:t>
      </w:r>
      <w:r>
        <w:rPr>
          <w:rFonts w:ascii="Times New Roman" w:hAnsi="Times New Roman"/>
          <w:color w:val="000000"/>
          <w:sz w:val="20"/>
          <w:u w:val="single"/>
        </w:rPr>
        <w:t>Frustration of Conditions</w:t>
      </w:r>
      <w:r>
        <w:rPr>
          <w:rFonts w:ascii="Times New Roman" w:hAnsi="Times New Roman"/>
          <w:color w:val="000000"/>
          <w:sz w:val="20"/>
        </w:rPr>
        <w:t xml:space="preserve">.  Neither Parent nor Merger Sub may rely on the failure of any condition set forth in </w:t>
      </w:r>
      <w:r>
        <w:rPr>
          <w:rFonts w:ascii="Times New Roman" w:hAnsi="Times New Roman"/>
          <w:color w:val="000000"/>
          <w:sz w:val="20"/>
          <w:u w:val="single"/>
        </w:rPr>
        <w:t>Section 6.01</w:t>
      </w:r>
      <w:r>
        <w:rPr>
          <w:rFonts w:ascii="Times New Roman" w:hAnsi="Times New Roman"/>
          <w:color w:val="000000"/>
          <w:sz w:val="20"/>
        </w:rPr>
        <w:t xml:space="preserve"> or </w:t>
      </w:r>
      <w:r>
        <w:rPr>
          <w:rFonts w:ascii="Times New Roman" w:hAnsi="Times New Roman"/>
          <w:color w:val="000000"/>
          <w:sz w:val="20"/>
          <w:u w:val="single"/>
        </w:rPr>
        <w:t>Section 6.02</w:t>
      </w:r>
      <w:r>
        <w:rPr>
          <w:rFonts w:ascii="Times New Roman" w:hAnsi="Times New Roman"/>
          <w:color w:val="000000"/>
          <w:sz w:val="20"/>
        </w:rPr>
        <w:t xml:space="preserve"> to be satisfied if such failure was caused by the failure of Parent or Merger Sub to perform any of its obligations under this Agreement. The Company may not rely on the failure of any condition set forth in </w:t>
      </w:r>
      <w:r>
        <w:rPr>
          <w:rFonts w:ascii="Times New Roman" w:hAnsi="Times New Roman"/>
          <w:color w:val="000000"/>
          <w:sz w:val="20"/>
          <w:u w:val="single"/>
        </w:rPr>
        <w:t>Section 6.01</w:t>
      </w:r>
      <w:r>
        <w:rPr>
          <w:rFonts w:ascii="Times New Roman" w:hAnsi="Times New Roman"/>
          <w:color w:val="000000"/>
          <w:sz w:val="20"/>
        </w:rPr>
        <w:t xml:space="preserve"> or </w:t>
      </w:r>
      <w:r>
        <w:rPr>
          <w:rFonts w:ascii="Times New Roman" w:hAnsi="Times New Roman"/>
          <w:color w:val="000000"/>
          <w:sz w:val="20"/>
          <w:u w:val="single"/>
        </w:rPr>
        <w:t>Section 6.03</w:t>
      </w:r>
      <w:r>
        <w:rPr>
          <w:rFonts w:ascii="Times New Roman" w:hAnsi="Times New Roman"/>
          <w:color w:val="000000"/>
          <w:sz w:val="20"/>
        </w:rPr>
        <w:t xml:space="preserve"> to be satisfied if such failure was caused by the Company’s failure to perform any of its obligations under this Agreement.</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6.05.  </w:t>
      </w:r>
      <w:r>
        <w:rPr>
          <w:rFonts w:ascii="Times New Roman" w:hAnsi="Times New Roman"/>
          <w:color w:val="000000"/>
          <w:sz w:val="20"/>
          <w:u w:val="single"/>
        </w:rPr>
        <w:t>Waiver of Conditions</w:t>
      </w:r>
      <w:r>
        <w:rPr>
          <w:rFonts w:ascii="Times New Roman" w:hAnsi="Times New Roman"/>
          <w:color w:val="000000"/>
          <w:sz w:val="20"/>
        </w:rPr>
        <w:t xml:space="preserve">.  All conditions to the Closing set forth in this </w:t>
      </w:r>
      <w:r>
        <w:rPr>
          <w:rFonts w:ascii="Times New Roman" w:hAnsi="Times New Roman"/>
          <w:color w:val="000000"/>
          <w:sz w:val="20"/>
          <w:u w:val="single"/>
        </w:rPr>
        <w:t>Article VI</w:t>
      </w:r>
      <w:r>
        <w:rPr>
          <w:rFonts w:ascii="Times New Roman" w:hAnsi="Times New Roman"/>
          <w:color w:val="000000"/>
          <w:sz w:val="20"/>
        </w:rPr>
        <w:t xml:space="preserve"> will be deemed to have been satisfied or waived from and after the Closing.</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ARTICLE VII</w:t>
        <w:br/>
        <w:br/>
      </w:r>
      <w:r>
        <w:rPr>
          <w:rFonts w:ascii="Times New Roman" w:hAnsi="Times New Roman"/>
          <w:color w:val="000000"/>
          <w:sz w:val="20"/>
          <w:u w:val="single"/>
        </w:rPr>
        <w:t>Termination</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7.01.  </w:t>
      </w:r>
      <w:r>
        <w:rPr>
          <w:rFonts w:ascii="Times New Roman" w:hAnsi="Times New Roman"/>
          <w:color w:val="000000"/>
          <w:sz w:val="20"/>
          <w:u w:val="single"/>
        </w:rPr>
        <w:t>Termination</w:t>
      </w:r>
      <w:r>
        <w:rPr>
          <w:rFonts w:ascii="Times New Roman" w:hAnsi="Times New Roman"/>
          <w:color w:val="000000"/>
          <w:sz w:val="20"/>
        </w:rPr>
        <w:t>.  This Agreement may be terminated, and the Transactions abandoned, at any time prior to the Effective Time (except as otherwise expressly provided herein) as follows:</w:t>
      </w:r>
    </w:p>
    <w:p>
      <w:pPr>
        <w:pStyle w:val="TextBody"/>
        <w:bidi w:val="0"/>
        <w:spacing w:before="0" w:after="0"/>
        <w:jc w:val="left"/>
        <w:rPr/>
      </w:pPr>
      <w:r>
        <w:rPr/>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(a)  by the mutual written consent of the Company and Parent;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64</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(b)  by either of the Company or Parent:</w:t>
      </w:r>
    </w:p>
    <w:p>
      <w:pPr>
        <w:pStyle w:val="TextBody"/>
        <w:bidi w:val="0"/>
        <w:spacing w:before="0" w:after="0"/>
        <w:jc w:val="left"/>
        <w:rPr/>
      </w:pPr>
      <w:r>
        <w:rPr/>
      </w:r>
    </w:p>
    <w:p>
      <w:pPr>
        <w:pStyle w:val="TextBody"/>
        <w:bidi w:val="0"/>
        <w:spacing w:before="0" w:after="0"/>
        <w:ind w:left="1440" w:right="0" w:firstLine="720"/>
        <w:jc w:val="left"/>
        <w:rPr>
          <w:rFonts w:ascii="Times New Roman" w:hAnsi="Times New Roman"/>
          <w:color w:val="000000"/>
          <w:sz w:val="20"/>
        </w:rPr>
      </w:pPr>
      <w:r>
        <w:rPr>
          <w:rFonts w:ascii="Times New Roman" w:hAnsi="Times New Roman"/>
          <w:color w:val="000000"/>
          <w:sz w:val="20"/>
        </w:rPr>
        <w:t>(i) if the Effective Time shall not have occurred on or prior to December 9, 2026 (as such date may be extended in accordance with the terms hereof, the “</w:t>
      </w:r>
      <w:r>
        <w:rPr>
          <w:rFonts w:ascii="Times New Roman" w:hAnsi="Times New Roman"/>
          <w:color w:val="000000"/>
          <w:sz w:val="20"/>
          <w:u w:val="single"/>
        </w:rPr>
        <w:t>Outside Date</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that if as of such date, all of the conditions to Closing set forth in </w:t>
      </w:r>
      <w:r>
        <w:rPr>
          <w:rFonts w:ascii="Times New Roman" w:hAnsi="Times New Roman"/>
          <w:color w:val="000000"/>
          <w:sz w:val="20"/>
          <w:u w:val="single"/>
        </w:rPr>
        <w:t>Article VI</w:t>
      </w:r>
      <w:r>
        <w:rPr>
          <w:rFonts w:ascii="Times New Roman" w:hAnsi="Times New Roman"/>
          <w:color w:val="000000"/>
          <w:sz w:val="20"/>
        </w:rPr>
        <w:t xml:space="preserve"> have been satisfied or (to the extent permitted by applicable Law) waived other than (A) the conditions set forth in </w:t>
      </w:r>
      <w:r>
        <w:rPr>
          <w:rFonts w:ascii="Times New Roman" w:hAnsi="Times New Roman"/>
          <w:color w:val="000000"/>
          <w:sz w:val="20"/>
          <w:u w:val="single"/>
        </w:rPr>
        <w:t>Section 6.01(a)</w:t>
      </w:r>
      <w:r>
        <w:rPr>
          <w:rFonts w:ascii="Times New Roman" w:hAnsi="Times New Roman"/>
          <w:color w:val="000000"/>
          <w:sz w:val="20"/>
        </w:rPr>
        <w:t xml:space="preserve"> (solely to the extent such condition has not been satisfied due to any Restraint issued in respect of, under or relating to the HSR Act or any state Healthcare Law) and </w:t>
      </w:r>
      <w:r>
        <w:rPr>
          <w:rFonts w:ascii="Times New Roman" w:hAnsi="Times New Roman"/>
          <w:color w:val="000000"/>
          <w:sz w:val="20"/>
          <w:u w:val="single"/>
        </w:rPr>
        <w:t>Section 6.01(b)</w:t>
      </w:r>
      <w:r>
        <w:rPr>
          <w:rFonts w:ascii="Times New Roman" w:hAnsi="Times New Roman"/>
          <w:color w:val="000000"/>
          <w:sz w:val="20"/>
        </w:rPr>
        <w:t xml:space="preserve"> and (B) those conditions that by their nature are to be satisfied at the Closing, which conditions shall be capable of being satisfied at such time, then the Outside Date will be automatically extended until March 9, 2027 (and such date will then be the Outside Date);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xml:space="preserve">, that the right to terminate this Agreement under this </w:t>
      </w:r>
      <w:r>
        <w:rPr>
          <w:rFonts w:ascii="Times New Roman" w:hAnsi="Times New Roman"/>
          <w:color w:val="000000"/>
          <w:sz w:val="20"/>
          <w:u w:val="single"/>
        </w:rPr>
        <w:t>Section 7.01(b)(i)</w:t>
      </w:r>
      <w:r>
        <w:rPr>
          <w:rFonts w:ascii="Times New Roman" w:hAnsi="Times New Roman"/>
          <w:color w:val="000000"/>
          <w:sz w:val="20"/>
        </w:rPr>
        <w:t xml:space="preserve"> shall not be available to any party if the breach by such party of its representations and warranties set forth in this Agreement or the failure of such party to perform any of its obligations under this Agreement has been a principal cause of or resulted in the events specified in this </w:t>
      </w:r>
      <w:r>
        <w:rPr>
          <w:rFonts w:ascii="Times New Roman" w:hAnsi="Times New Roman"/>
          <w:color w:val="000000"/>
          <w:sz w:val="20"/>
          <w:u w:val="single"/>
        </w:rPr>
        <w:t>Section 7.01(b)(i)</w:t>
      </w:r>
      <w:r>
        <w:rPr>
          <w:rFonts w:ascii="Times New Roman" w:hAnsi="Times New Roman"/>
          <w:color w:val="000000"/>
          <w:sz w:val="20"/>
        </w:rPr>
        <w:t xml:space="preserve"> (it being understood that Parent and Merger Sub shall be deemed a single party for purposes of the foregoing proviso);</w:t>
      </w:r>
    </w:p>
    <w:p>
      <w:pPr>
        <w:pStyle w:val="TextBody"/>
        <w:bidi w:val="0"/>
        <w:spacing w:before="0" w:after="0"/>
        <w:jc w:val="left"/>
        <w:rPr/>
      </w:pPr>
      <w:r>
        <w:rPr/>
      </w:r>
    </w:p>
    <w:p>
      <w:pPr>
        <w:pStyle w:val="TextBody"/>
        <w:bidi w:val="0"/>
        <w:spacing w:before="0" w:after="0"/>
        <w:ind w:left="1440" w:right="0" w:firstLine="720"/>
        <w:jc w:val="left"/>
        <w:rPr>
          <w:rFonts w:ascii="Times New Roman" w:hAnsi="Times New Roman"/>
          <w:color w:val="000000"/>
          <w:sz w:val="20"/>
        </w:rPr>
      </w:pPr>
      <w:r>
        <w:rPr>
          <w:rFonts w:ascii="Times New Roman" w:hAnsi="Times New Roman"/>
          <w:color w:val="000000"/>
          <w:sz w:val="20"/>
        </w:rPr>
        <w:t xml:space="preserve">(ii) if any Restraint in the U.S. having the effect set forth in </w:t>
      </w:r>
      <w:r>
        <w:rPr>
          <w:rFonts w:ascii="Times New Roman" w:hAnsi="Times New Roman"/>
          <w:color w:val="000000"/>
          <w:sz w:val="20"/>
          <w:u w:val="single"/>
        </w:rPr>
        <w:t>Section 6.01(a)</w:t>
      </w:r>
      <w:r>
        <w:rPr>
          <w:rFonts w:ascii="Times New Roman" w:hAnsi="Times New Roman"/>
          <w:color w:val="000000"/>
          <w:sz w:val="20"/>
        </w:rPr>
        <w:t xml:space="preserve"> shall be in effect and shall have become final and nonappealable; </w:t>
      </w:r>
      <w:r>
        <w:rPr>
          <w:rFonts w:ascii="Times New Roman" w:hAnsi="Times New Roman"/>
          <w:color w:val="000000"/>
          <w:sz w:val="20"/>
          <w:u w:val="single"/>
        </w:rPr>
        <w:t>provided</w:t>
      </w:r>
      <w:r>
        <w:rPr>
          <w:rFonts w:ascii="Times New Roman" w:hAnsi="Times New Roman"/>
          <w:color w:val="000000"/>
          <w:sz w:val="20"/>
        </w:rPr>
        <w:t xml:space="preserve"> that the party seeking to terminate this Agreement pursuant to this </w:t>
      </w:r>
      <w:r>
        <w:rPr>
          <w:rFonts w:ascii="Times New Roman" w:hAnsi="Times New Roman"/>
          <w:color w:val="000000"/>
          <w:sz w:val="20"/>
          <w:u w:val="single"/>
        </w:rPr>
        <w:t>Section 7.01(b)(ii)</w:t>
      </w:r>
      <w:r>
        <w:rPr>
          <w:rFonts w:ascii="Times New Roman" w:hAnsi="Times New Roman"/>
          <w:color w:val="000000"/>
          <w:sz w:val="20"/>
        </w:rPr>
        <w:t xml:space="preserve"> shall (A) have used the required efforts to prevent the entry of and to remove such Restraint in accordance with its obligations under this Agreement, (B) not have breached in any material respects its respective obligations under </w:t>
      </w:r>
      <w:r>
        <w:rPr>
          <w:rFonts w:ascii="Times New Roman" w:hAnsi="Times New Roman"/>
          <w:color w:val="000000"/>
          <w:sz w:val="20"/>
          <w:u w:val="single"/>
        </w:rPr>
        <w:t>Section 5.03</w:t>
      </w:r>
      <w:r>
        <w:rPr>
          <w:rFonts w:ascii="Times New Roman" w:hAnsi="Times New Roman"/>
          <w:color w:val="000000"/>
          <w:sz w:val="20"/>
        </w:rPr>
        <w:t xml:space="preserve"> and (C) not have been the primary cause of such Restraint due to a failure to perform any such obligations; or</w:t>
      </w:r>
    </w:p>
    <w:p>
      <w:pPr>
        <w:pStyle w:val="TextBody"/>
        <w:bidi w:val="0"/>
        <w:spacing w:before="0" w:after="0"/>
        <w:jc w:val="left"/>
        <w:rPr/>
      </w:pPr>
      <w:r>
        <w:rPr/>
      </w:r>
    </w:p>
    <w:p>
      <w:pPr>
        <w:pStyle w:val="TextBody"/>
        <w:bidi w:val="0"/>
        <w:spacing w:before="0" w:after="0"/>
        <w:ind w:left="1440" w:right="0" w:firstLine="720"/>
        <w:jc w:val="left"/>
        <w:rPr>
          <w:rFonts w:ascii="Times New Roman" w:hAnsi="Times New Roman"/>
          <w:color w:val="000000"/>
          <w:sz w:val="20"/>
        </w:rPr>
      </w:pPr>
      <w:r>
        <w:rPr>
          <w:rFonts w:ascii="Times New Roman" w:hAnsi="Times New Roman"/>
          <w:color w:val="000000"/>
          <w:sz w:val="20"/>
        </w:rPr>
        <w:t>(iii) if the Company Stockholders’ Meeting (including any adjournments or postponements thereof) shall have concluded and the Company Stockholder Approval shall not have been obtained;</w:t>
      </w:r>
    </w:p>
    <w:p>
      <w:pPr>
        <w:pStyle w:val="TextBody"/>
        <w:bidi w:val="0"/>
        <w:spacing w:before="0" w:after="0"/>
        <w:jc w:val="left"/>
        <w:rPr/>
      </w:pPr>
      <w:r>
        <w:rPr/>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(c)  by Parent:</w:t>
      </w:r>
    </w:p>
    <w:p>
      <w:pPr>
        <w:pStyle w:val="TextBody"/>
        <w:bidi w:val="0"/>
        <w:spacing w:before="0" w:after="0"/>
        <w:jc w:val="left"/>
        <w:rPr/>
      </w:pPr>
      <w:r>
        <w:rPr/>
      </w:r>
    </w:p>
    <w:p>
      <w:pPr>
        <w:pStyle w:val="TextBody"/>
        <w:bidi w:val="0"/>
        <w:spacing w:lineRule="auto" w:line="240" w:before="0" w:after="0"/>
        <w:ind w:left="1440" w:right="0" w:firstLine="720"/>
        <w:jc w:val="left"/>
        <w:rPr>
          <w:rFonts w:ascii="Times New Roman" w:hAnsi="Times New Roman"/>
          <w:color w:val="000000"/>
          <w:sz w:val="20"/>
        </w:rPr>
      </w:pPr>
      <w:r>
        <w:rPr>
          <w:rFonts w:ascii="Times New Roman" w:hAnsi="Times New Roman"/>
          <w:color w:val="000000"/>
          <w:sz w:val="20"/>
        </w:rPr>
        <w:t xml:space="preserve">(i) if the Company shall have breached any of its representations or warranties or failed to perform any of its covenants or agreements set forth in this Agreement, which breach or failure to perform (A) would give rise to the failure of a condition set forth in </w:t>
      </w:r>
      <w:r>
        <w:rPr>
          <w:rFonts w:ascii="Times New Roman" w:hAnsi="Times New Roman"/>
          <w:color w:val="000000"/>
          <w:sz w:val="20"/>
          <w:u w:val="single"/>
        </w:rPr>
        <w:t>Section 6.02(a)</w:t>
      </w:r>
      <w:r>
        <w:rPr>
          <w:rFonts w:ascii="Times New Roman" w:hAnsi="Times New Roman"/>
          <w:color w:val="000000"/>
          <w:sz w:val="20"/>
        </w:rPr>
        <w:t xml:space="preserve"> or </w:t>
      </w:r>
      <w:r>
        <w:rPr>
          <w:rFonts w:ascii="Times New Roman" w:hAnsi="Times New Roman"/>
          <w:color w:val="000000"/>
          <w:sz w:val="20"/>
          <w:u w:val="single"/>
        </w:rPr>
        <w:t>Section 6.02(b)</w:t>
      </w:r>
      <w:r>
        <w:rPr>
          <w:rFonts w:ascii="Times New Roman" w:hAnsi="Times New Roman"/>
          <w:color w:val="000000"/>
          <w:sz w:val="20"/>
        </w:rPr>
        <w:t xml:space="preserve"> and (B) is incapable of being cured or, if capable of being cured by the Outside Date, has not been cured by the Company prior to the earlier of the Outside Date or the thirtieth (30th) calendar day following receipt by the Company of written notice of such breach or failure to perform from Parent describing such breach or failure to perform and stating Parent’s intention to terminate this Agreement pursuant to this </w:t>
      </w:r>
      <w:r>
        <w:rPr>
          <w:rFonts w:ascii="Times New Roman" w:hAnsi="Times New Roman"/>
          <w:color w:val="000000"/>
          <w:sz w:val="20"/>
          <w:u w:val="single"/>
        </w:rPr>
        <w:t>Section 7.01(c)(i)</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that Parent shall not have the right to terminate this Agreement pursuant to this </w:t>
      </w:r>
      <w:r>
        <w:rPr>
          <w:rFonts w:ascii="Times New Roman" w:hAnsi="Times New Roman"/>
          <w:color w:val="000000"/>
          <w:sz w:val="20"/>
          <w:u w:val="single"/>
        </w:rPr>
        <w:t>Section 7.01(c)(i)</w:t>
      </w:r>
      <w:r>
        <w:rPr>
          <w:rFonts w:ascii="Times New Roman" w:hAnsi="Times New Roman"/>
          <w:color w:val="000000"/>
          <w:sz w:val="20"/>
        </w:rPr>
        <w:t xml:space="preserve"> if Parent or Merger Sub is then in material breach of any of its representations, warranties, covenants or agreements hereunder (which breach has not be cured); or</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65</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1440" w:right="0" w:firstLine="720"/>
        <w:jc w:val="left"/>
        <w:rPr>
          <w:rFonts w:ascii="Times New Roman" w:hAnsi="Times New Roman"/>
          <w:color w:val="000000"/>
          <w:sz w:val="20"/>
        </w:rPr>
      </w:pPr>
      <w:r>
        <w:rPr>
          <w:rFonts w:ascii="Times New Roman" w:hAnsi="Times New Roman"/>
          <w:color w:val="000000"/>
          <w:sz w:val="20"/>
        </w:rPr>
        <w:t>(ii) prior to the Company Stockholders’ Meeting (including any adjournments or postponement thereof), if the Board of Directors of the Company shall have made or effected an Adverse Recommendation Change; or</w:t>
      </w:r>
    </w:p>
    <w:p>
      <w:pPr>
        <w:pStyle w:val="TextBody"/>
        <w:bidi w:val="0"/>
        <w:spacing w:before="0" w:after="0"/>
        <w:jc w:val="left"/>
        <w:rPr/>
      </w:pPr>
      <w:r>
        <w:rPr/>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(d)  by the Company:</w:t>
      </w:r>
    </w:p>
    <w:p>
      <w:pPr>
        <w:pStyle w:val="TextBody"/>
        <w:bidi w:val="0"/>
        <w:spacing w:before="0" w:after="0"/>
        <w:jc w:val="left"/>
        <w:rPr/>
      </w:pPr>
      <w:r>
        <w:rPr/>
      </w:r>
    </w:p>
    <w:p>
      <w:pPr>
        <w:pStyle w:val="TextBody"/>
        <w:bidi w:val="0"/>
        <w:spacing w:lineRule="auto" w:line="240" w:before="0" w:after="0"/>
        <w:ind w:left="1440" w:right="0" w:firstLine="720"/>
        <w:jc w:val="left"/>
        <w:rPr>
          <w:rFonts w:ascii="Times New Roman" w:hAnsi="Times New Roman"/>
          <w:color w:val="000000"/>
          <w:sz w:val="20"/>
        </w:rPr>
      </w:pPr>
      <w:r>
        <w:rPr>
          <w:rFonts w:ascii="Times New Roman" w:hAnsi="Times New Roman"/>
          <w:color w:val="000000"/>
          <w:sz w:val="20"/>
        </w:rPr>
        <w:t xml:space="preserve">(i) if either of Parent or Merger Sub shall have breached any of its representations or warranties or failed to perform any of its covenants or agreements set forth in this Agreement, which breach or failure to perform (A) would give rise to the failure of a condition set forth in </w:t>
      </w:r>
      <w:r>
        <w:rPr>
          <w:rFonts w:ascii="Times New Roman" w:hAnsi="Times New Roman"/>
          <w:color w:val="000000"/>
          <w:sz w:val="20"/>
          <w:u w:val="single"/>
        </w:rPr>
        <w:t>Section 6.03(a)</w:t>
      </w:r>
      <w:r>
        <w:rPr>
          <w:rFonts w:ascii="Times New Roman" w:hAnsi="Times New Roman"/>
          <w:color w:val="000000"/>
          <w:sz w:val="20"/>
        </w:rPr>
        <w:t xml:space="preserve"> or </w:t>
      </w:r>
      <w:r>
        <w:rPr>
          <w:rFonts w:ascii="Times New Roman" w:hAnsi="Times New Roman"/>
          <w:color w:val="000000"/>
          <w:sz w:val="20"/>
          <w:u w:val="single"/>
        </w:rPr>
        <w:t>Section 6.03(b)</w:t>
      </w:r>
      <w:r>
        <w:rPr>
          <w:rFonts w:ascii="Times New Roman" w:hAnsi="Times New Roman"/>
          <w:color w:val="000000"/>
          <w:sz w:val="20"/>
        </w:rPr>
        <w:t xml:space="preserve"> and (B) is incapable of being cured or, if capable of being cured by the Outside Date, has not been cured by Parent prior to the earlier of the Outside Date or the thirtieth (30th) calendar day following receipt by Parent of written notice of such breach or failure to perform from the Company describing such breach or failure to perform and stating the Company’s intention to terminate this Agreement pursuant to this</w:t>
      </w:r>
      <w:r>
        <w:rPr>
          <w:rFonts w:ascii="Times New Roman" w:hAnsi="Times New Roman"/>
          <w:color w:val="000000"/>
          <w:sz w:val="20"/>
          <w:u w:val="single"/>
        </w:rPr>
        <w:t xml:space="preserve"> Section 7.01(d)(i)</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that the Company shall not have the right to terminate this Agreement pursuant to this </w:t>
      </w:r>
      <w:r>
        <w:rPr>
          <w:rFonts w:ascii="Times New Roman" w:hAnsi="Times New Roman"/>
          <w:color w:val="000000"/>
          <w:sz w:val="20"/>
          <w:u w:val="single"/>
        </w:rPr>
        <w:t>Section 7.01(d)(i)</w:t>
      </w:r>
      <w:r>
        <w:rPr>
          <w:rFonts w:ascii="Times New Roman" w:hAnsi="Times New Roman"/>
          <w:color w:val="000000"/>
          <w:sz w:val="20"/>
        </w:rPr>
        <w:t xml:space="preserve"> if the Company is then in material breach of any of its representations, warranties, covenants or agreements hereunder (which breach has not be cured); or</w:t>
      </w:r>
    </w:p>
    <w:p>
      <w:pPr>
        <w:pStyle w:val="TextBody"/>
        <w:bidi w:val="0"/>
        <w:spacing w:before="0" w:after="0"/>
        <w:jc w:val="left"/>
        <w:rPr/>
      </w:pPr>
      <w:r>
        <w:rPr/>
      </w:r>
    </w:p>
    <w:p>
      <w:pPr>
        <w:pStyle w:val="TextBody"/>
        <w:bidi w:val="0"/>
        <w:spacing w:before="0" w:after="0"/>
        <w:ind w:left="1440" w:right="0" w:firstLine="720"/>
        <w:jc w:val="left"/>
        <w:rPr>
          <w:rFonts w:ascii="Times New Roman" w:hAnsi="Times New Roman"/>
          <w:color w:val="000000"/>
          <w:sz w:val="20"/>
        </w:rPr>
      </w:pPr>
      <w:r>
        <w:rPr>
          <w:rFonts w:ascii="Times New Roman" w:hAnsi="Times New Roman"/>
          <w:color w:val="000000"/>
          <w:sz w:val="20"/>
        </w:rPr>
        <w:t xml:space="preserve">(ii) prior to receipt of the Company Stockholder Approval, in connection with entering into a Company Acquisition Agreement providing for a Superior Proposal in accordance with </w:t>
      </w:r>
      <w:r>
        <w:rPr>
          <w:rFonts w:ascii="Times New Roman" w:hAnsi="Times New Roman"/>
          <w:color w:val="000000"/>
          <w:sz w:val="20"/>
          <w:u w:val="single"/>
        </w:rPr>
        <w:t>Section 5.02(d)</w:t>
      </w:r>
      <w:r>
        <w:rPr>
          <w:rFonts w:ascii="Times New Roman" w:hAnsi="Times New Roman"/>
          <w:color w:val="000000"/>
          <w:sz w:val="20"/>
        </w:rPr>
        <w:t xml:space="preserve"> which Company Acquisition Agreement is entered into immediately following such termination; </w:t>
      </w:r>
      <w:r>
        <w:rPr>
          <w:rFonts w:ascii="Times New Roman" w:hAnsi="Times New Roman"/>
          <w:color w:val="000000"/>
          <w:sz w:val="20"/>
          <w:u w:val="single"/>
        </w:rPr>
        <w:t>provided</w:t>
      </w:r>
      <w:r>
        <w:rPr>
          <w:rFonts w:ascii="Times New Roman" w:hAnsi="Times New Roman"/>
          <w:color w:val="000000"/>
          <w:sz w:val="20"/>
        </w:rPr>
        <w:t xml:space="preserve"> that prior to or concurrently with such termination the Company pays or causes to be paid the applicable Company Termination Fee to the extent due and payable under </w:t>
      </w:r>
      <w:r>
        <w:rPr>
          <w:rFonts w:ascii="Times New Roman" w:hAnsi="Times New Roman"/>
          <w:color w:val="000000"/>
          <w:sz w:val="20"/>
          <w:u w:val="single"/>
        </w:rPr>
        <w:t>Section 7.03(a)</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7.02.  </w:t>
      </w:r>
      <w:r>
        <w:rPr>
          <w:rFonts w:ascii="Times New Roman" w:hAnsi="Times New Roman"/>
          <w:color w:val="000000"/>
          <w:sz w:val="20"/>
          <w:u w:val="single"/>
        </w:rPr>
        <w:t>Effect of Termination</w:t>
      </w:r>
      <w:r>
        <w:rPr>
          <w:rFonts w:ascii="Times New Roman" w:hAnsi="Times New Roman"/>
          <w:color w:val="000000"/>
          <w:sz w:val="20"/>
        </w:rPr>
        <w:t xml:space="preserve">.  In the event of the termination of this Agreement as provided in </w:t>
      </w:r>
      <w:r>
        <w:rPr>
          <w:rFonts w:ascii="Times New Roman" w:hAnsi="Times New Roman"/>
          <w:color w:val="000000"/>
          <w:sz w:val="20"/>
          <w:u w:val="single"/>
        </w:rPr>
        <w:t>Section 7.01</w:t>
      </w:r>
      <w:r>
        <w:rPr>
          <w:rFonts w:ascii="Times New Roman" w:hAnsi="Times New Roman"/>
          <w:color w:val="000000"/>
          <w:sz w:val="20"/>
        </w:rPr>
        <w:t xml:space="preserve">, written notice thereof shall be given to the other party or parties hereto, specifying the provision hereof pursuant to which such termination is made, and this Agreement shall forthwith become null and void (other than </w:t>
      </w:r>
      <w:r>
        <w:rPr>
          <w:rFonts w:ascii="Times New Roman" w:hAnsi="Times New Roman"/>
          <w:color w:val="000000"/>
          <w:sz w:val="20"/>
          <w:u w:val="single"/>
        </w:rPr>
        <w:t>Section 5.05</w:t>
      </w:r>
      <w:r>
        <w:rPr>
          <w:rFonts w:ascii="Times New Roman" w:hAnsi="Times New Roman"/>
          <w:color w:val="000000"/>
          <w:sz w:val="20"/>
        </w:rPr>
        <w:t xml:space="preserve">, this </w:t>
      </w:r>
      <w:r>
        <w:rPr>
          <w:rFonts w:ascii="Times New Roman" w:hAnsi="Times New Roman"/>
          <w:color w:val="000000"/>
          <w:sz w:val="20"/>
          <w:u w:val="single"/>
        </w:rPr>
        <w:t>Section 7.02,</w:t>
      </w:r>
      <w:r>
        <w:rPr>
          <w:rFonts w:ascii="Times New Roman" w:hAnsi="Times New Roman"/>
          <w:color w:val="000000"/>
          <w:sz w:val="20"/>
        </w:rPr>
        <w:t> </w:t>
      </w:r>
      <w:r>
        <w:rPr>
          <w:rFonts w:ascii="Times New Roman" w:hAnsi="Times New Roman"/>
          <w:color w:val="000000"/>
          <w:sz w:val="20"/>
          <w:u w:val="single"/>
        </w:rPr>
        <w:t>Section 7.03</w:t>
      </w:r>
      <w:r>
        <w:rPr>
          <w:rFonts w:ascii="Times New Roman" w:hAnsi="Times New Roman"/>
          <w:color w:val="000000"/>
          <w:sz w:val="20"/>
        </w:rPr>
        <w:t xml:space="preserve"> and </w:t>
      </w:r>
      <w:r>
        <w:rPr>
          <w:rFonts w:ascii="Times New Roman" w:hAnsi="Times New Roman"/>
          <w:color w:val="000000"/>
          <w:sz w:val="20"/>
          <w:u w:val="single"/>
        </w:rPr>
        <w:t>Article VIII</w:t>
      </w:r>
      <w:r>
        <w:rPr>
          <w:rFonts w:ascii="Times New Roman" w:hAnsi="Times New Roman"/>
          <w:color w:val="000000"/>
          <w:sz w:val="20"/>
        </w:rPr>
        <w:t xml:space="preserve">, all of which shall survive termination of this Agreement), and there shall be no liability on the part of Parent, Merger Sub, the Company or their respective directors, officers and Affiliates, except, subject to </w:t>
      </w:r>
      <w:r>
        <w:rPr>
          <w:rFonts w:ascii="Times New Roman" w:hAnsi="Times New Roman"/>
          <w:color w:val="000000"/>
          <w:sz w:val="20"/>
          <w:u w:val="single"/>
        </w:rPr>
        <w:t>Section 7.03(c)</w:t>
      </w:r>
      <w:r>
        <w:rPr>
          <w:rFonts w:ascii="Times New Roman" w:hAnsi="Times New Roman"/>
          <w:color w:val="000000"/>
          <w:sz w:val="20"/>
        </w:rPr>
        <w:t xml:space="preserve"> (including the limitations on liability set forth therein), no such termination shall relieve any party from liability for damages to another party resulting from a Willful Breach of this Agreement or from Fraud.</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7.03.  </w:t>
      </w:r>
      <w:r>
        <w:rPr>
          <w:rFonts w:ascii="Times New Roman" w:hAnsi="Times New Roman"/>
          <w:color w:val="000000"/>
          <w:sz w:val="20"/>
          <w:u w:val="single"/>
        </w:rPr>
        <w:t>Termination Fee</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(a)  In the event that: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66</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1440" w:right="0" w:firstLine="720"/>
        <w:jc w:val="left"/>
        <w:rPr>
          <w:rFonts w:ascii="Times New Roman" w:hAnsi="Times New Roman"/>
          <w:color w:val="000000"/>
          <w:sz w:val="20"/>
        </w:rPr>
      </w:pPr>
      <w:r>
        <w:rPr>
          <w:rFonts w:ascii="Times New Roman" w:hAnsi="Times New Roman"/>
          <w:color w:val="000000"/>
          <w:sz w:val="20"/>
        </w:rPr>
        <w:t xml:space="preserve">(i) this Agreement is terminated by the Company or Parent pursuant to </w:t>
      </w:r>
      <w:r>
        <w:rPr>
          <w:rFonts w:ascii="Times New Roman" w:hAnsi="Times New Roman"/>
          <w:color w:val="000000"/>
          <w:sz w:val="20"/>
          <w:u w:val="single"/>
        </w:rPr>
        <w:t>Section 7.01(b)(i)</w:t>
      </w:r>
      <w:r>
        <w:rPr>
          <w:rFonts w:ascii="Times New Roman" w:hAnsi="Times New Roman"/>
          <w:color w:val="000000"/>
          <w:sz w:val="20"/>
        </w:rPr>
        <w:t xml:space="preserve"> (Outside Date) or </w:t>
      </w:r>
      <w:r>
        <w:rPr>
          <w:rFonts w:ascii="Times New Roman" w:hAnsi="Times New Roman"/>
          <w:color w:val="000000"/>
          <w:sz w:val="20"/>
          <w:u w:val="single"/>
        </w:rPr>
        <w:t>Section 7.01(b)(iii)</w:t>
      </w:r>
      <w:r>
        <w:rPr>
          <w:rFonts w:ascii="Times New Roman" w:hAnsi="Times New Roman"/>
          <w:color w:val="000000"/>
          <w:sz w:val="20"/>
        </w:rPr>
        <w:t xml:space="preserve"> (Failure to Obtain Company Stockholder Approval) or by Parent pursuant to </w:t>
      </w:r>
      <w:r>
        <w:rPr>
          <w:rFonts w:ascii="Times New Roman" w:hAnsi="Times New Roman"/>
          <w:color w:val="000000"/>
          <w:sz w:val="20"/>
          <w:u w:val="single"/>
        </w:rPr>
        <w:t xml:space="preserve">Section 7.01(c)(i) </w:t>
      </w:r>
      <w:r>
        <w:rPr>
          <w:rFonts w:ascii="Times New Roman" w:hAnsi="Times New Roman"/>
          <w:color w:val="000000"/>
          <w:sz w:val="20"/>
        </w:rPr>
        <w:t xml:space="preserve">(Company Breach); </w:t>
      </w:r>
      <w:r>
        <w:rPr>
          <w:rFonts w:ascii="Times New Roman" w:hAnsi="Times New Roman"/>
          <w:color w:val="000000"/>
          <w:sz w:val="20"/>
          <w:u w:val="single"/>
        </w:rPr>
        <w:t>provided</w:t>
      </w:r>
      <w:r>
        <w:rPr>
          <w:rFonts w:ascii="Times New Roman" w:hAnsi="Times New Roman"/>
          <w:color w:val="000000"/>
          <w:sz w:val="20"/>
        </w:rPr>
        <w:t xml:space="preserve"> that (A) a bona fide Takeover Proposal shall have been publicly made, proposed or communicated by a third party (or such Takeover Proposal has otherwise been made known to the Board of Directors of the Company and shall have become publicly known) (1) in the case of a termination pursuant to </w:t>
      </w:r>
      <w:r>
        <w:rPr>
          <w:rFonts w:ascii="Times New Roman" w:hAnsi="Times New Roman"/>
          <w:color w:val="000000"/>
          <w:sz w:val="20"/>
          <w:u w:val="single"/>
        </w:rPr>
        <w:t>Section 7.01(b)(i)</w:t>
      </w:r>
      <w:r>
        <w:rPr>
          <w:rFonts w:ascii="Times New Roman" w:hAnsi="Times New Roman"/>
          <w:color w:val="000000"/>
          <w:sz w:val="20"/>
        </w:rPr>
        <w:t xml:space="preserve"> or </w:t>
      </w:r>
      <w:r>
        <w:rPr>
          <w:rFonts w:ascii="Times New Roman" w:hAnsi="Times New Roman"/>
          <w:color w:val="000000"/>
          <w:sz w:val="20"/>
          <w:u w:val="single"/>
        </w:rPr>
        <w:t>Section 7.01(b)(iii)</w:t>
      </w:r>
      <w:r>
        <w:rPr>
          <w:rFonts w:ascii="Times New Roman" w:hAnsi="Times New Roman"/>
          <w:color w:val="000000"/>
          <w:sz w:val="20"/>
        </w:rPr>
        <w:t xml:space="preserve">, after the date of this Agreement or (2) in the case of a termination pursuant to </w:t>
      </w:r>
      <w:r>
        <w:rPr>
          <w:rFonts w:ascii="Times New Roman" w:hAnsi="Times New Roman"/>
          <w:color w:val="000000"/>
          <w:sz w:val="20"/>
          <w:u w:val="single"/>
        </w:rPr>
        <w:t>Section 7.01(c)(i)</w:t>
      </w:r>
      <w:r>
        <w:rPr>
          <w:rFonts w:ascii="Times New Roman" w:hAnsi="Times New Roman"/>
          <w:color w:val="000000"/>
          <w:sz w:val="20"/>
        </w:rPr>
        <w:t xml:space="preserve">, prior to the date of the applicable breach and, in the case of a termination pursuant to </w:t>
      </w:r>
      <w:r>
        <w:rPr>
          <w:rFonts w:ascii="Times New Roman" w:hAnsi="Times New Roman"/>
          <w:color w:val="000000"/>
          <w:sz w:val="20"/>
          <w:u w:val="single"/>
        </w:rPr>
        <w:t>Section 7.01(b)(iii)</w:t>
      </w:r>
      <w:r>
        <w:rPr>
          <w:rFonts w:ascii="Times New Roman" w:hAnsi="Times New Roman"/>
          <w:color w:val="000000"/>
          <w:sz w:val="20"/>
        </w:rPr>
        <w:t xml:space="preserve">, not publicly withdrawn prior to the time this Agreement is terminated and (B) within twelve (12) months of the date this Agreement is terminated, the Company consummates a Takeover Proposal (or enters into a definitive written agreement with respect to any transaction included within the definition of Takeover Proposal and such transaction is subsequently consummated at any time) with the Person or Persons that made the Takeover Proposal referred to in </w:t>
      </w:r>
      <w:r>
        <w:rPr>
          <w:rFonts w:ascii="Times New Roman" w:hAnsi="Times New Roman"/>
          <w:color w:val="000000"/>
          <w:sz w:val="20"/>
          <w:u w:val="single"/>
        </w:rPr>
        <w:t>clause (A)</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that, for purposes of this </w:t>
      </w:r>
      <w:r>
        <w:rPr>
          <w:rFonts w:ascii="Times New Roman" w:hAnsi="Times New Roman"/>
          <w:color w:val="000000"/>
          <w:sz w:val="20"/>
          <w:u w:val="single"/>
        </w:rPr>
        <w:t>Section 7.03(a)(i)</w:t>
      </w:r>
      <w:r>
        <w:rPr>
          <w:rFonts w:ascii="Times New Roman" w:hAnsi="Times New Roman"/>
          <w:color w:val="000000"/>
          <w:sz w:val="20"/>
        </w:rPr>
        <w:t>, the references to “25%” in the definition of Takeover Proposal shall be deemed to be references to “50%”; or</w:t>
      </w:r>
    </w:p>
    <w:p>
      <w:pPr>
        <w:pStyle w:val="TextBody"/>
        <w:bidi w:val="0"/>
        <w:spacing w:before="0" w:after="0"/>
        <w:jc w:val="left"/>
        <w:rPr/>
      </w:pPr>
      <w:r>
        <w:rPr/>
      </w:r>
    </w:p>
    <w:p>
      <w:pPr>
        <w:pStyle w:val="TextBody"/>
        <w:bidi w:val="0"/>
        <w:spacing w:before="0" w:after="0"/>
        <w:ind w:left="1440" w:right="0" w:firstLine="720"/>
        <w:jc w:val="left"/>
        <w:rPr>
          <w:rFonts w:ascii="Times New Roman" w:hAnsi="Times New Roman"/>
          <w:color w:val="000000"/>
          <w:sz w:val="20"/>
        </w:rPr>
      </w:pPr>
      <w:r>
        <w:rPr>
          <w:rFonts w:ascii="Times New Roman" w:hAnsi="Times New Roman"/>
          <w:color w:val="000000"/>
          <w:sz w:val="20"/>
        </w:rPr>
        <w:t xml:space="preserve">(ii) this Agreement is terminated (A) by Parent pursuant to </w:t>
      </w:r>
      <w:r>
        <w:rPr>
          <w:rFonts w:ascii="Times New Roman" w:hAnsi="Times New Roman"/>
          <w:color w:val="000000"/>
          <w:sz w:val="20"/>
          <w:u w:val="single"/>
        </w:rPr>
        <w:t>Section 7.01(c)(ii)</w:t>
      </w:r>
      <w:r>
        <w:rPr>
          <w:rFonts w:ascii="Times New Roman" w:hAnsi="Times New Roman"/>
          <w:color w:val="000000"/>
          <w:sz w:val="20"/>
        </w:rPr>
        <w:t xml:space="preserve"> (Adverse Recommendation Change) or (B) by the Company pursuant to </w:t>
      </w:r>
      <w:r>
        <w:rPr>
          <w:rFonts w:ascii="Times New Roman" w:hAnsi="Times New Roman"/>
          <w:color w:val="000000"/>
          <w:sz w:val="20"/>
          <w:u w:val="single"/>
        </w:rPr>
        <w:t>Section 7.01(d)(ii)</w:t>
      </w:r>
      <w:r>
        <w:rPr>
          <w:rFonts w:ascii="Times New Roman" w:hAnsi="Times New Roman"/>
          <w:color w:val="000000"/>
          <w:sz w:val="20"/>
        </w:rPr>
        <w:t xml:space="preserve"> (Company Superior Proposal);</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then, in any such event under </w:t>
      </w:r>
      <w:r>
        <w:rPr>
          <w:rFonts w:ascii="Times New Roman" w:hAnsi="Times New Roman"/>
          <w:color w:val="000000"/>
          <w:sz w:val="20"/>
          <w:u w:val="single"/>
        </w:rPr>
        <w:t>clause (i)</w:t>
      </w:r>
      <w:r>
        <w:rPr>
          <w:rFonts w:ascii="Times New Roman" w:hAnsi="Times New Roman"/>
          <w:color w:val="000000"/>
          <w:sz w:val="20"/>
        </w:rPr>
        <w:t xml:space="preserve"> or </w:t>
      </w:r>
      <w:r>
        <w:rPr>
          <w:rFonts w:ascii="Times New Roman" w:hAnsi="Times New Roman"/>
          <w:color w:val="000000"/>
          <w:sz w:val="20"/>
          <w:u w:val="single"/>
        </w:rPr>
        <w:t>(ii)</w:t>
      </w:r>
      <w:r>
        <w:rPr>
          <w:rFonts w:ascii="Times New Roman" w:hAnsi="Times New Roman"/>
          <w:color w:val="000000"/>
          <w:sz w:val="20"/>
        </w:rPr>
        <w:t xml:space="preserve"> of this </w:t>
      </w:r>
      <w:r>
        <w:rPr>
          <w:rFonts w:ascii="Times New Roman" w:hAnsi="Times New Roman"/>
          <w:color w:val="000000"/>
          <w:sz w:val="20"/>
          <w:u w:val="single"/>
        </w:rPr>
        <w:t>Section 7.03(a)</w:t>
      </w:r>
      <w:r>
        <w:rPr>
          <w:rFonts w:ascii="Times New Roman" w:hAnsi="Times New Roman"/>
          <w:color w:val="000000"/>
          <w:sz w:val="20"/>
        </w:rPr>
        <w:t xml:space="preserve">, the Company shall pay or cause to be paid the applicable Company Termination Fee to Parent or its designee by wire transfer of same-day funds to an account designated in writing by Parent (x) in the case of </w:t>
      </w:r>
      <w:r>
        <w:rPr>
          <w:rFonts w:ascii="Times New Roman" w:hAnsi="Times New Roman"/>
          <w:color w:val="000000"/>
          <w:sz w:val="20"/>
          <w:u w:val="single"/>
        </w:rPr>
        <w:t>Section 7.03(a)(ii)(A)</w:t>
      </w:r>
      <w:r>
        <w:rPr>
          <w:rFonts w:ascii="Times New Roman" w:hAnsi="Times New Roman"/>
          <w:color w:val="000000"/>
          <w:sz w:val="20"/>
        </w:rPr>
        <w:t xml:space="preserve">, within two (2) Business Days after such termination, (y) in the case of </w:t>
      </w:r>
      <w:r>
        <w:rPr>
          <w:rFonts w:ascii="Times New Roman" w:hAnsi="Times New Roman"/>
          <w:color w:val="000000"/>
          <w:sz w:val="20"/>
          <w:u w:val="single"/>
        </w:rPr>
        <w:t>Section 7.03(a)(ii)(B)</w:t>
      </w:r>
      <w:r>
        <w:rPr>
          <w:rFonts w:ascii="Times New Roman" w:hAnsi="Times New Roman"/>
          <w:color w:val="000000"/>
          <w:sz w:val="20"/>
        </w:rPr>
        <w:t xml:space="preserve">, simultaneously with such termination or (z) in the case of </w:t>
      </w:r>
      <w:r>
        <w:rPr>
          <w:rFonts w:ascii="Times New Roman" w:hAnsi="Times New Roman"/>
          <w:color w:val="000000"/>
          <w:sz w:val="20"/>
          <w:u w:val="single"/>
        </w:rPr>
        <w:t>Section 7.03(a)(i)</w:t>
      </w:r>
      <w:r>
        <w:rPr>
          <w:rFonts w:ascii="Times New Roman" w:hAnsi="Times New Roman"/>
          <w:color w:val="000000"/>
          <w:sz w:val="20"/>
        </w:rPr>
        <w:t>, within two (2) Business Days after the consummation of the Takeover Proposal referred to therein; it being understood that in no event shall the Company be required to pay or cause to be paid the applicable Company Termination Fee on more than one occasion.</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As used herein, “</w:t>
      </w:r>
      <w:r>
        <w:rPr>
          <w:rFonts w:ascii="Times New Roman" w:hAnsi="Times New Roman"/>
          <w:color w:val="000000"/>
          <w:sz w:val="20"/>
          <w:u w:val="single"/>
        </w:rPr>
        <w:t>Company Termination Fee</w:t>
      </w:r>
      <w:r>
        <w:rPr>
          <w:rFonts w:ascii="Times New Roman" w:hAnsi="Times New Roman"/>
          <w:color w:val="000000"/>
          <w:sz w:val="20"/>
        </w:rPr>
        <w:t>” shall mean a cash amount equal to $32,394,000.</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(b)  Each of the parties hereto acknowledges that the agreements contained in this </w:t>
      </w:r>
      <w:r>
        <w:rPr>
          <w:rFonts w:ascii="Times New Roman" w:hAnsi="Times New Roman"/>
          <w:color w:val="000000"/>
          <w:sz w:val="20"/>
          <w:u w:val="single"/>
        </w:rPr>
        <w:t>Section 7.03</w:t>
      </w:r>
      <w:r>
        <w:rPr>
          <w:rFonts w:ascii="Times New Roman" w:hAnsi="Times New Roman"/>
          <w:color w:val="000000"/>
          <w:sz w:val="20"/>
        </w:rPr>
        <w:t xml:space="preserve"> are an integral part of the Transactions, and that without these agreements, the other parties hereto would not enter into this Agreement.  Accordingly, if the Company fails to timely pay or cause to be paid any amount due pursuant to this </w:t>
      </w:r>
      <w:r>
        <w:rPr>
          <w:rFonts w:ascii="Times New Roman" w:hAnsi="Times New Roman"/>
          <w:color w:val="000000"/>
          <w:sz w:val="20"/>
          <w:u w:val="single"/>
        </w:rPr>
        <w:t>Section 7.03</w:t>
      </w:r>
      <w:r>
        <w:rPr>
          <w:rFonts w:ascii="Times New Roman" w:hAnsi="Times New Roman"/>
          <w:color w:val="000000"/>
          <w:sz w:val="20"/>
        </w:rPr>
        <w:t xml:space="preserve">, and, in order to obtain the payment, Parent commences an Action which results in a judgment against the Company for the payment set forth in this </w:t>
      </w:r>
      <w:r>
        <w:rPr>
          <w:rFonts w:ascii="Times New Roman" w:hAnsi="Times New Roman"/>
          <w:color w:val="000000"/>
          <w:sz w:val="20"/>
          <w:u w:val="single"/>
        </w:rPr>
        <w:t>Section 7.03</w:t>
      </w:r>
      <w:r>
        <w:rPr>
          <w:rFonts w:ascii="Times New Roman" w:hAnsi="Times New Roman"/>
          <w:color w:val="000000"/>
          <w:sz w:val="20"/>
        </w:rPr>
        <w:t>, then the Company shall pay or cause to be paid to Parent its reasonable and documented costs and expenses (including reasonable and documented attorneys’ fees) in connection with such Action, together with interest on such amount at the prime rate as published in The Wall Street Journal in effect on the date such payment was required to be made through the date such payment was actually received.</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67</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(c)  Subject in all respects to Parent’s injunction, specific performance and equitable relief rights and related rights set forth in </w:t>
      </w:r>
      <w:r>
        <w:rPr>
          <w:rFonts w:ascii="Times New Roman" w:hAnsi="Times New Roman"/>
          <w:color w:val="000000"/>
          <w:sz w:val="20"/>
          <w:u w:val="single"/>
        </w:rPr>
        <w:t>Section 8.08</w:t>
      </w:r>
      <w:r>
        <w:rPr>
          <w:rFonts w:ascii="Times New Roman" w:hAnsi="Times New Roman"/>
          <w:color w:val="000000"/>
          <w:sz w:val="20"/>
        </w:rPr>
        <w:t xml:space="preserve"> and the reimbursement obligations of the Company under </w:t>
      </w:r>
      <w:r>
        <w:rPr>
          <w:rFonts w:ascii="Times New Roman" w:hAnsi="Times New Roman"/>
          <w:color w:val="000000"/>
          <w:sz w:val="20"/>
          <w:u w:val="single"/>
        </w:rPr>
        <w:t>Section 7.03(b)</w:t>
      </w:r>
      <w:r>
        <w:rPr>
          <w:rFonts w:ascii="Times New Roman" w:hAnsi="Times New Roman"/>
          <w:color w:val="000000"/>
          <w:sz w:val="20"/>
        </w:rPr>
        <w:t xml:space="preserve">, in the event the applicable Company Termination Fee is paid to Parent in circumstances for which such fee is payable pursuant to </w:t>
      </w:r>
      <w:r>
        <w:rPr>
          <w:rFonts w:ascii="Times New Roman" w:hAnsi="Times New Roman"/>
          <w:color w:val="000000"/>
          <w:sz w:val="20"/>
          <w:u w:val="single"/>
        </w:rPr>
        <w:t>Section 7.03(a)</w:t>
      </w:r>
      <w:r>
        <w:rPr>
          <w:rFonts w:ascii="Times New Roman" w:hAnsi="Times New Roman"/>
          <w:color w:val="000000"/>
          <w:sz w:val="20"/>
        </w:rPr>
        <w:t>, payment of the applicable Company Termination Fee shall be the sole and exclusive monetary damages remedy of Parent, Merger Sub or any of their respective former, current or future officers, directors, partners, stockholders, financing sources, managers, members or Affiliates (collectively, the “</w:t>
      </w:r>
      <w:r>
        <w:rPr>
          <w:rFonts w:ascii="Times New Roman" w:hAnsi="Times New Roman"/>
          <w:color w:val="000000"/>
          <w:sz w:val="20"/>
          <w:u w:val="single"/>
        </w:rPr>
        <w:t>Parent Related Parties</w:t>
      </w:r>
      <w:r>
        <w:rPr>
          <w:rFonts w:ascii="Times New Roman" w:hAnsi="Times New Roman"/>
          <w:color w:val="000000"/>
          <w:sz w:val="20"/>
        </w:rPr>
        <w:t>”) against the Company and its Subsidiaries and any of their respective former, current or future officers, directors, partners, stockholders, managers, members or Affiliates (collectively, “</w:t>
      </w:r>
      <w:r>
        <w:rPr>
          <w:rFonts w:ascii="Times New Roman" w:hAnsi="Times New Roman"/>
          <w:color w:val="000000"/>
          <w:sz w:val="20"/>
          <w:u w:val="single"/>
        </w:rPr>
        <w:t>Company Related Parties</w:t>
      </w:r>
      <w:r>
        <w:rPr>
          <w:rFonts w:ascii="Times New Roman" w:hAnsi="Times New Roman"/>
          <w:color w:val="000000"/>
          <w:sz w:val="20"/>
        </w:rPr>
        <w:t xml:space="preserve">”) for any loss suffered as a result of the failure of the Transactions to be consummated or for a breach or failure to perform hereunder or otherwise, and upon payment of such amount none of the Company Related Parties shall have any further liability or obligation relating to or arising out of this Agreement or the Transactions; </w:t>
      </w:r>
      <w:r>
        <w:rPr>
          <w:rFonts w:ascii="Times New Roman" w:hAnsi="Times New Roman"/>
          <w:color w:val="000000"/>
          <w:sz w:val="20"/>
          <w:u w:val="single"/>
        </w:rPr>
        <w:t>provided</w:t>
      </w:r>
      <w:r>
        <w:rPr>
          <w:rFonts w:ascii="Times New Roman" w:hAnsi="Times New Roman"/>
          <w:color w:val="000000"/>
          <w:sz w:val="20"/>
        </w:rPr>
        <w:t xml:space="preserve">, that no such payment of the Company Termination Fee shall relieve the Company Related Parties from any liability for damages resulting from a Willful Breach of this Agreement or from Fraud by such Company Related Party.  While Parent may pursue both a grant of specific performance in accordance with </w:t>
      </w:r>
      <w:r>
        <w:rPr>
          <w:rFonts w:ascii="Times New Roman" w:hAnsi="Times New Roman"/>
          <w:color w:val="000000"/>
          <w:sz w:val="20"/>
          <w:u w:val="single"/>
        </w:rPr>
        <w:t>Section 8.08</w:t>
      </w:r>
      <w:r>
        <w:rPr>
          <w:rFonts w:ascii="Times New Roman" w:hAnsi="Times New Roman"/>
          <w:color w:val="000000"/>
          <w:sz w:val="20"/>
        </w:rPr>
        <w:t xml:space="preserve"> and the payment of the applicable Company Termination Fee under </w:t>
      </w:r>
      <w:r>
        <w:rPr>
          <w:rFonts w:ascii="Times New Roman" w:hAnsi="Times New Roman"/>
          <w:color w:val="000000"/>
          <w:sz w:val="20"/>
          <w:u w:val="single"/>
        </w:rPr>
        <w:t>Section 7.03</w:t>
      </w:r>
      <w:r>
        <w:rPr>
          <w:rFonts w:ascii="Times New Roman" w:hAnsi="Times New Roman"/>
          <w:color w:val="000000"/>
          <w:sz w:val="20"/>
        </w:rPr>
        <w:t>, under no circumstances shall Parent be permitted or entitled to receive both a grant of specific performance that results in a Closing and any money damages, including all or any portion of the Company Termination Fee.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ARTICLE VIII</w:t>
        <w:br/>
        <w:br/>
      </w:r>
      <w:r>
        <w:rPr>
          <w:rFonts w:ascii="Times New Roman" w:hAnsi="Times New Roman"/>
          <w:color w:val="000000"/>
          <w:sz w:val="20"/>
          <w:u w:val="single"/>
        </w:rPr>
        <w:t>Miscellaneous</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8.01.  </w:t>
      </w:r>
      <w:r>
        <w:rPr>
          <w:rFonts w:ascii="Times New Roman" w:hAnsi="Times New Roman"/>
          <w:color w:val="000000"/>
          <w:sz w:val="20"/>
          <w:u w:val="single"/>
        </w:rPr>
        <w:t>No Survival of Representations and Warranties</w:t>
      </w:r>
      <w:r>
        <w:rPr>
          <w:rFonts w:ascii="Times New Roman" w:hAnsi="Times New Roman"/>
          <w:color w:val="000000"/>
          <w:sz w:val="20"/>
        </w:rPr>
        <w:t xml:space="preserve">.  None of the representations or warranties in this Agreement or in any document or instrument delivered pursuant to or in connection with this Agreement shall survive the Effective Time.  This </w:t>
      </w:r>
      <w:r>
        <w:rPr>
          <w:rFonts w:ascii="Times New Roman" w:hAnsi="Times New Roman"/>
          <w:color w:val="000000"/>
          <w:sz w:val="20"/>
          <w:u w:val="single"/>
        </w:rPr>
        <w:t>Section 8.01</w:t>
      </w:r>
      <w:r>
        <w:rPr>
          <w:rFonts w:ascii="Times New Roman" w:hAnsi="Times New Roman"/>
          <w:color w:val="000000"/>
          <w:sz w:val="20"/>
        </w:rPr>
        <w:t xml:space="preserve"> shall not limit any covenant or agreement contained in this Agreement or in any document or instrument delivered pursuant to or in connection with this Agreement that by its terms applies in whole or in part after the Effective Time, which shall survive to the extent expressly provided for herein or therein.</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8.02.  </w:t>
      </w:r>
      <w:r>
        <w:rPr>
          <w:rFonts w:ascii="Times New Roman" w:hAnsi="Times New Roman"/>
          <w:color w:val="000000"/>
          <w:sz w:val="20"/>
          <w:u w:val="single"/>
        </w:rPr>
        <w:t>Amendment or Supplement</w:t>
      </w:r>
      <w:r>
        <w:rPr>
          <w:rFonts w:ascii="Times New Roman" w:hAnsi="Times New Roman"/>
          <w:color w:val="000000"/>
          <w:sz w:val="20"/>
        </w:rPr>
        <w:t xml:space="preserve">.  Subject to compliance with applicable Law, at any time prior to the Effective Time, this Agreement may be amended or supplemented in any and all respects by written agreement of Parent and the Company;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following receipt of the Company Stockholder Approval, there shall be no amendment or supplement to the provisions hereof which by Law would require further approval by the stockholders of the Company without such approval.</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8.03.  </w:t>
      </w:r>
      <w:r>
        <w:rPr>
          <w:rFonts w:ascii="Times New Roman" w:hAnsi="Times New Roman"/>
          <w:color w:val="000000"/>
          <w:sz w:val="20"/>
          <w:u w:val="single"/>
        </w:rPr>
        <w:t>Extension of Time, Waiver, etc</w:t>
      </w:r>
      <w:r>
        <w:rPr>
          <w:rFonts w:ascii="Times New Roman" w:hAnsi="Times New Roman"/>
          <w:color w:val="000000"/>
          <w:sz w:val="20"/>
        </w:rPr>
        <w:t xml:space="preserve">.  At any time prior to the Effective Time, Parent and the Company may, subject to applicable Law, (a) waive any inaccuracies in the representations and warranties of the other party contained herein or in any document delivered pursuant hereto, (b) extend the time for the performance of any of the obligations or acts of the other party or (c) waive compliance by the other party with any of the agreements contained herein applicable to such party or, except as otherwise provided herein, waive any of such party’s conditions (it being understood that Parent and Merger Sub shall be deemed a single party for purposes of the foregoing </w:t>
      </w:r>
      <w:r>
        <w:rPr>
          <w:rFonts w:ascii="Times New Roman" w:hAnsi="Times New Roman"/>
          <w:color w:val="000000"/>
          <w:sz w:val="20"/>
          <w:u w:val="single"/>
        </w:rPr>
        <w:t>clauses (a)</w:t>
      </w:r>
      <w:r>
        <w:rPr>
          <w:rFonts w:ascii="Times New Roman" w:hAnsi="Times New Roman"/>
          <w:color w:val="000000"/>
          <w:sz w:val="20"/>
        </w:rPr>
        <w:t xml:space="preserve"> through </w:t>
      </w:r>
      <w:r>
        <w:rPr>
          <w:rFonts w:ascii="Times New Roman" w:hAnsi="Times New Roman"/>
          <w:color w:val="000000"/>
          <w:sz w:val="20"/>
          <w:u w:val="single"/>
        </w:rPr>
        <w:t>(c)</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following receipt of the Company Stockholder Approval, there shall be no waiver or extension of this Agreement which by Law would require further approval by the stockholders of the Company without such approval.  Notwithstanding the foregoing, no failure or delay by the Company, Parent or Merger Sub in exercising any right hereunder shall operate as a waiver thereof nor shall any single or partial exercise thereof preclude any other or further exercise thereof or the exercise of any other right hereunder.  Any agreement on the part of a party hereto to any such extension or waiver shall be valid only if set forth in an instrument in writing signed on behalf of such party.</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68</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8.04.  </w:t>
      </w:r>
      <w:r>
        <w:rPr>
          <w:rFonts w:ascii="Times New Roman" w:hAnsi="Times New Roman"/>
          <w:color w:val="000000"/>
          <w:sz w:val="20"/>
          <w:u w:val="single"/>
        </w:rPr>
        <w:t>Assignment</w:t>
      </w:r>
      <w:r>
        <w:rPr>
          <w:rFonts w:ascii="Times New Roman" w:hAnsi="Times New Roman"/>
          <w:color w:val="000000"/>
          <w:sz w:val="20"/>
        </w:rPr>
        <w:t xml:space="preserve">.  Neither this Agreement nor any of the rights, interests or obligations hereunder shall be assigned, in whole or in part, by operation of Law or otherwise, by any of the parties hereto without the prior written consent of the other parties hereto (such consent not to be unreasonably withheld, delayed or conditioned).  No assignment by any party shall relieve such party of any of its obligations hereunder.  Subject to the immediately preceding two sentences, this Agreement shall be binding upon, inure to the benefit of, and be enforceable by, the parties hereto and their respective successors and permitted assigns.  Any purported assignment not permitted under this </w:t>
      </w:r>
      <w:r>
        <w:rPr>
          <w:rFonts w:ascii="Times New Roman" w:hAnsi="Times New Roman"/>
          <w:color w:val="000000"/>
          <w:sz w:val="20"/>
          <w:u w:val="single"/>
        </w:rPr>
        <w:t>Section 8.04</w:t>
      </w:r>
      <w:r>
        <w:rPr>
          <w:rFonts w:ascii="Times New Roman" w:hAnsi="Times New Roman"/>
          <w:color w:val="000000"/>
          <w:sz w:val="20"/>
        </w:rPr>
        <w:t xml:space="preserve"> shall be null and void.</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8.05.  </w:t>
      </w:r>
      <w:r>
        <w:rPr>
          <w:rFonts w:ascii="Times New Roman" w:hAnsi="Times New Roman"/>
          <w:color w:val="000000"/>
          <w:sz w:val="20"/>
          <w:u w:val="single"/>
        </w:rPr>
        <w:t>Counterparts</w:t>
      </w:r>
      <w:r>
        <w:rPr>
          <w:rFonts w:ascii="Times New Roman" w:hAnsi="Times New Roman"/>
          <w:color w:val="000000"/>
          <w:sz w:val="20"/>
        </w:rPr>
        <w:t>.  This Agreement may be executed in one or more counterparts (including by electronic signature, PDF or electronic mail), each of which shall be deemed to be an original but all of which taken together shall constitute one and the same agreement, and shall become effective when one or more counterparts have been signed by each of the parties hereto and delivered to the other parties hereto.</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8.06.  </w:t>
      </w:r>
      <w:r>
        <w:rPr>
          <w:rFonts w:ascii="Times New Roman" w:hAnsi="Times New Roman"/>
          <w:color w:val="000000"/>
          <w:sz w:val="20"/>
          <w:u w:val="single"/>
        </w:rPr>
        <w:t>Entire Agreement; No Third-Party Beneficiaries</w:t>
      </w:r>
      <w:r>
        <w:rPr>
          <w:rFonts w:ascii="Times New Roman" w:hAnsi="Times New Roman"/>
          <w:color w:val="000000"/>
          <w:sz w:val="20"/>
        </w:rPr>
        <w:t xml:space="preserve">.  This Agreement (and the exhibits and schedules hereto), together with the Company Disclosure Letter, the Confidentiality Agreement and the Voting Agreements, constitutes the entire agreement, and supersedes all other prior agreements and understandings, both written and oral, among the parties and their Affiliates, or any of them, with respect to the subject matter hereof and thereof.  The Company Disclosure Letter and the Exhibits hereto are “facts ascertainable” as that term is used in Section 251(b) of the DGCL, and do not form part of this Agreement but instead operate upon the terms of this Agreement as provided herein.  Notwithstanding anything to the contrary in this Agreement, the Company Disclosure Letter shall not be deemed a part of this Agreement as provided in Section 268(b) of the DGCL.  This Agreement is not intended to and does not confer upon any Person other than the parties hereto any rights or remedies hereunder, except for:  (a) if the Effective Time occurs, the right of the stockholders of the Company to receive the Merger Consideration as provided in </w:t>
      </w:r>
      <w:r>
        <w:rPr>
          <w:rFonts w:ascii="Times New Roman" w:hAnsi="Times New Roman"/>
          <w:color w:val="000000"/>
          <w:sz w:val="20"/>
          <w:u w:val="single"/>
        </w:rPr>
        <w:t>Section 2.01</w:t>
      </w:r>
      <w:r>
        <w:rPr>
          <w:rFonts w:ascii="Times New Roman" w:hAnsi="Times New Roman"/>
          <w:color w:val="000000"/>
          <w:sz w:val="20"/>
        </w:rPr>
        <w:t xml:space="preserve">; (b) if the Effective Time occurs, the right of the holders of Equity-Based Awards to receive such amounts as provided for in </w:t>
      </w:r>
      <w:r>
        <w:rPr>
          <w:rFonts w:ascii="Times New Roman" w:hAnsi="Times New Roman"/>
          <w:color w:val="000000"/>
          <w:sz w:val="20"/>
          <w:u w:val="single"/>
        </w:rPr>
        <w:t>Article II</w:t>
      </w:r>
      <w:r>
        <w:rPr>
          <w:rFonts w:ascii="Times New Roman" w:hAnsi="Times New Roman"/>
          <w:color w:val="000000"/>
          <w:sz w:val="20"/>
        </w:rPr>
        <w:t xml:space="preserve">; (c) if the Effective Time occurs, the rights of the Indemnitees (and each Indemnitee’s heirs and representatives) set forth in </w:t>
      </w:r>
      <w:r>
        <w:rPr>
          <w:rFonts w:ascii="Times New Roman" w:hAnsi="Times New Roman"/>
          <w:color w:val="000000"/>
          <w:sz w:val="20"/>
          <w:u w:val="single"/>
        </w:rPr>
        <w:t>Section 5.06</w:t>
      </w:r>
      <w:r>
        <w:rPr>
          <w:rFonts w:ascii="Times New Roman" w:hAnsi="Times New Roman"/>
          <w:color w:val="000000"/>
          <w:sz w:val="20"/>
        </w:rPr>
        <w:t xml:space="preserve">; (d) the rights of the Company Related Parties set forth in </w:t>
      </w:r>
      <w:r>
        <w:rPr>
          <w:rFonts w:ascii="Times New Roman" w:hAnsi="Times New Roman"/>
          <w:color w:val="000000"/>
          <w:sz w:val="20"/>
          <w:u w:val="single"/>
        </w:rPr>
        <w:t>Section 7.03(c)</w:t>
      </w:r>
      <w:r>
        <w:rPr>
          <w:rFonts w:ascii="Times New Roman" w:hAnsi="Times New Roman"/>
          <w:color w:val="000000"/>
          <w:sz w:val="20"/>
        </w:rPr>
        <w:t xml:space="preserve"> and (e) following the termination of this Agreement pursuant to </w:t>
      </w:r>
      <w:r>
        <w:rPr>
          <w:rFonts w:ascii="Times New Roman" w:hAnsi="Times New Roman"/>
          <w:color w:val="000000"/>
          <w:sz w:val="20"/>
          <w:u w:val="single"/>
        </w:rPr>
        <w:t>Article VII</w:t>
      </w:r>
      <w:r>
        <w:rPr>
          <w:rFonts w:ascii="Times New Roman" w:hAnsi="Times New Roman"/>
          <w:color w:val="000000"/>
          <w:sz w:val="20"/>
        </w:rPr>
        <w:t xml:space="preserve">, subject to </w:t>
      </w:r>
      <w:r>
        <w:rPr>
          <w:rFonts w:ascii="Times New Roman" w:hAnsi="Times New Roman"/>
          <w:color w:val="000000"/>
          <w:sz w:val="20"/>
          <w:u w:val="single"/>
        </w:rPr>
        <w:t>Section 7.02</w:t>
      </w:r>
      <w:r>
        <w:rPr>
          <w:rFonts w:ascii="Times New Roman" w:hAnsi="Times New Roman"/>
          <w:color w:val="000000"/>
          <w:sz w:val="20"/>
        </w:rPr>
        <w:t xml:space="preserve"> and the last sentence of this </w:t>
      </w:r>
      <w:r>
        <w:rPr>
          <w:rFonts w:ascii="Times New Roman" w:hAnsi="Times New Roman"/>
          <w:color w:val="000000"/>
          <w:sz w:val="20"/>
          <w:u w:val="single"/>
        </w:rPr>
        <w:t>Section 8.06</w:t>
      </w:r>
      <w:r>
        <w:rPr>
          <w:rFonts w:ascii="Times New Roman" w:hAnsi="Times New Roman"/>
          <w:color w:val="000000"/>
          <w:sz w:val="20"/>
        </w:rPr>
        <w:t xml:space="preserve">, the right of the Company, as sole and exclusive agent for and on behalf of the stockholders of the Company (which stockholders shall not be entitled to pursue such damages on their own behalf) (who are third-party beneficiaries hereunder solely to the extent necessary for this </w:t>
      </w:r>
      <w:r>
        <w:rPr>
          <w:rFonts w:ascii="Times New Roman" w:hAnsi="Times New Roman"/>
          <w:color w:val="000000"/>
          <w:sz w:val="20"/>
          <w:u w:val="single"/>
        </w:rPr>
        <w:t>clause (e)</w:t>
      </w:r>
      <w:r>
        <w:rPr>
          <w:rFonts w:ascii="Times New Roman" w:hAnsi="Times New Roman"/>
          <w:color w:val="000000"/>
          <w:sz w:val="20"/>
        </w:rPr>
        <w:t xml:space="preserve"> to be enforceable in accordance with Section 261(a) of the DGCL), to pursue any damages (including damages based on the loss of the economic benefit of the Transactions to the stockholders of the Company) solely in connection with a Willful Breach of this Agreement by Parent or Fraud by Parent.  The rights granted pursuant to </w:t>
      </w:r>
      <w:r>
        <w:rPr>
          <w:rFonts w:ascii="Times New Roman" w:hAnsi="Times New Roman"/>
          <w:color w:val="000000"/>
          <w:sz w:val="20"/>
          <w:u w:val="single"/>
        </w:rPr>
        <w:t>clause (e)</w:t>
      </w:r>
      <w:r>
        <w:rPr>
          <w:rFonts w:ascii="Times New Roman" w:hAnsi="Times New Roman"/>
          <w:color w:val="000000"/>
          <w:sz w:val="20"/>
        </w:rPr>
        <w:t xml:space="preserve"> of this </w:t>
      </w:r>
      <w:r>
        <w:rPr>
          <w:rFonts w:ascii="Times New Roman" w:hAnsi="Times New Roman"/>
          <w:color w:val="000000"/>
          <w:sz w:val="20"/>
          <w:u w:val="single"/>
        </w:rPr>
        <w:t>Section 8.06</w:t>
      </w:r>
      <w:r>
        <w:rPr>
          <w:rFonts w:ascii="Times New Roman" w:hAnsi="Times New Roman"/>
          <w:color w:val="000000"/>
          <w:sz w:val="20"/>
        </w:rPr>
        <w:t xml:space="preserve"> and the provisions of </w:t>
      </w:r>
      <w:r>
        <w:rPr>
          <w:rFonts w:ascii="Times New Roman" w:hAnsi="Times New Roman"/>
          <w:color w:val="000000"/>
          <w:sz w:val="20"/>
          <w:u w:val="single"/>
        </w:rPr>
        <w:t>Section 7.02</w:t>
      </w:r>
      <w:r>
        <w:rPr>
          <w:rFonts w:ascii="Times New Roman" w:hAnsi="Times New Roman"/>
          <w:color w:val="000000"/>
          <w:sz w:val="20"/>
        </w:rPr>
        <w:t xml:space="preserve"> with respect to the recovery of damages based on the losses suffered by the stockholders of the Company (including the loss of the economic benefit of the Transactions to the stockholders of the Company) shall only be enforceable on behalf of the stockholders of the Company by the Company in its sole and absolute discretion, as the sole and exclusive agent for the stockholders of the Company (which stockholders shall not be entitled to pursue such enforcement on their own behalf); </w:t>
      </w:r>
      <w:r>
        <w:rPr>
          <w:rFonts w:ascii="Times New Roman" w:hAnsi="Times New Roman"/>
          <w:color w:val="000000"/>
          <w:sz w:val="20"/>
          <w:u w:val="single"/>
        </w:rPr>
        <w:t>provided</w:t>
      </w:r>
      <w:r>
        <w:rPr>
          <w:rFonts w:ascii="Times New Roman" w:hAnsi="Times New Roman"/>
          <w:color w:val="000000"/>
          <w:sz w:val="20"/>
        </w:rPr>
        <w:t xml:space="preserve"> that, in such capacity as sole and exclusive agent for the stockholders of the Company, the Company shall (i) be entitled to reimbursement (from the stockholders of the Company) from any such recovery of damages of its reasonable and documented out-of-pocket costs and expenses (including reasonable and documented out-of-pocket attorneys’ fees determined by reference to standard hourly rates) that have been incurred by the Company in connection with acting as sole and exclusive agent for the stockholders of the Company pursuant to </w:t>
      </w:r>
      <w:r>
        <w:rPr>
          <w:rFonts w:ascii="Times New Roman" w:hAnsi="Times New Roman"/>
          <w:color w:val="000000"/>
          <w:sz w:val="20"/>
          <w:u w:val="single"/>
        </w:rPr>
        <w:t>clause (e)</w:t>
      </w:r>
      <w:r>
        <w:rPr>
          <w:rFonts w:ascii="Times New Roman" w:hAnsi="Times New Roman"/>
          <w:color w:val="000000"/>
          <w:sz w:val="20"/>
        </w:rPr>
        <w:t xml:space="preserve"> of this </w:t>
      </w:r>
      <w:r>
        <w:rPr>
          <w:rFonts w:ascii="Times New Roman" w:hAnsi="Times New Roman"/>
          <w:color w:val="000000"/>
          <w:sz w:val="20"/>
          <w:u w:val="single"/>
        </w:rPr>
        <w:t>Section 8.06</w:t>
      </w:r>
      <w:r>
        <w:rPr>
          <w:rFonts w:ascii="Times New Roman" w:hAnsi="Times New Roman"/>
          <w:color w:val="000000"/>
          <w:sz w:val="20"/>
        </w:rPr>
        <w:t xml:space="preserve"> and (ii) not be liable to the stockholders of the Company for any action taken, suffered or omitted to be taken by it in good faith except to the extent that the Company’s gross negligence or willful misconduct was the cause of any direct loss to the stockholders of the Company.</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69</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8.07.  </w:t>
      </w:r>
      <w:r>
        <w:rPr>
          <w:rFonts w:ascii="Times New Roman" w:hAnsi="Times New Roman"/>
          <w:color w:val="000000"/>
          <w:sz w:val="20"/>
          <w:u w:val="single"/>
        </w:rPr>
        <w:t>Governing Law; Jurisdiction</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(a)  This Agreement shall be governed by, and construed in accordance with, the Laws of the State of Delaware applicable to contracts executed in and to be performed entirely within that State, regardless of the Laws that might otherwise govern under any applicable conflict of Laws principles.</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(b)  All Actions arising out of or relating to this Agreement or the Transactions shall be heard and determined in the Court of Chancery of the State of Delaware (or, if the Court of Chancery of the State of Delaware declines to accept jurisdiction over any Action, any state or federal court within the State of Delaware).  The parties hereto hereby irrevocably (i) submit to the exclusive jurisdiction and venue of such courts in any such Action, (ii) waive the defense of an inconvenient forum or lack of jurisdiction to the maintenance of any such Action, (iii) agree to not attempt to deny or defeat such jurisdiction by motion or otherwise request for leave from any such court and (iv) agree to not bring any Action arising out of or relating to this Agreement or the Transactions in any court other than the Court of Chancery of the State of Delaware (or, if the Court of Chancery of the State of Delaware declines to accept jurisdiction over any Action, any state or federal court within the State of Delaware), except for Actions brought to enforce the judgment of any such court.  The consents to jurisdiction and venue set forth in this </w:t>
      </w:r>
      <w:r>
        <w:rPr>
          <w:rFonts w:ascii="Times New Roman" w:hAnsi="Times New Roman"/>
          <w:color w:val="000000"/>
          <w:sz w:val="20"/>
          <w:u w:val="single"/>
        </w:rPr>
        <w:t>Section 8.07(b)</w:t>
      </w:r>
      <w:r>
        <w:rPr>
          <w:rFonts w:ascii="Times New Roman" w:hAnsi="Times New Roman"/>
          <w:color w:val="000000"/>
          <w:sz w:val="20"/>
        </w:rPr>
        <w:t xml:space="preserve"> shall not constitute general consents to service of process in the State of Delaware and shall have no effect for any purpose except as provided in this paragraph and shall not be deemed to confer rights on any Person other than the parties hereto.  Each party hereto agrees that service of process upon such party in any Action arising out of or relating to this Agreement shall be effective if notice is given by overnight courier at the address set forth in </w:t>
      </w:r>
      <w:r>
        <w:rPr>
          <w:rFonts w:ascii="Times New Roman" w:hAnsi="Times New Roman"/>
          <w:color w:val="000000"/>
          <w:sz w:val="20"/>
          <w:u w:val="single"/>
        </w:rPr>
        <w:t>Section 8.10</w:t>
      </w:r>
      <w:r>
        <w:rPr>
          <w:rFonts w:ascii="Times New Roman" w:hAnsi="Times New Roman"/>
          <w:color w:val="000000"/>
          <w:sz w:val="20"/>
        </w:rPr>
        <w:t xml:space="preserve">.  The parties hereto agree that a final judgment in any such Action shall be conclusive and may be enforced in other jurisdictions by suit on the judgment or in any other manner provided by applicable Law;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nothing in the foregoing shall restrict any party’s rights to seek any post-judgment relief regarding, or any appeal from, a final trial court judgment.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70</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8.08.  </w:t>
      </w:r>
      <w:r>
        <w:rPr>
          <w:rFonts w:ascii="Times New Roman" w:hAnsi="Times New Roman"/>
          <w:color w:val="000000"/>
          <w:sz w:val="20"/>
          <w:u w:val="single"/>
        </w:rPr>
        <w:t>Specific Enforcement</w:t>
      </w:r>
      <w:r>
        <w:rPr>
          <w:rFonts w:ascii="Times New Roman" w:hAnsi="Times New Roman"/>
          <w:color w:val="000000"/>
          <w:sz w:val="20"/>
        </w:rPr>
        <w:t xml:space="preserve">.  The parties hereto agree that irreparable damage for which monetary relief (including any fees payable pursuant to </w:t>
      </w:r>
      <w:r>
        <w:rPr>
          <w:rFonts w:ascii="Times New Roman" w:hAnsi="Times New Roman"/>
          <w:color w:val="000000"/>
          <w:sz w:val="20"/>
          <w:u w:val="single"/>
        </w:rPr>
        <w:t>Section 7.03</w:t>
      </w:r>
      <w:r>
        <w:rPr>
          <w:rFonts w:ascii="Times New Roman" w:hAnsi="Times New Roman"/>
          <w:color w:val="000000"/>
          <w:sz w:val="20"/>
        </w:rPr>
        <w:t xml:space="preserve">), even if available, would not be an adequate remedy, would occur in the event that any provision of this Agreement is not performed in accordance with its specific terms or is otherwise breached, including if the parties hereto fail to take any action required of them hereunder to consummate this Agreement and the Transactions.  Subject to the following sentence, the parties acknowledge and agree that (a) the parties shall be entitled to an injunction or injunctions, specific performance or other equitable relief to prevent breaches of this Agreement and to enforce specifically the terms and provisions hereof in the courts described in </w:t>
      </w:r>
      <w:r>
        <w:rPr>
          <w:rFonts w:ascii="Times New Roman" w:hAnsi="Times New Roman"/>
          <w:color w:val="000000"/>
          <w:sz w:val="20"/>
          <w:u w:val="single"/>
        </w:rPr>
        <w:t>Section 8.07(b)</w:t>
      </w:r>
      <w:r>
        <w:rPr>
          <w:rFonts w:ascii="Times New Roman" w:hAnsi="Times New Roman"/>
          <w:color w:val="000000"/>
          <w:sz w:val="20"/>
        </w:rPr>
        <w:t xml:space="preserve"> without proof of damages or otherwise, this being in addition to any other remedy to which they are entitled under this Agreement, (b) the provisions set forth in </w:t>
      </w:r>
      <w:r>
        <w:rPr>
          <w:rFonts w:ascii="Times New Roman" w:hAnsi="Times New Roman"/>
          <w:color w:val="000000"/>
          <w:sz w:val="20"/>
          <w:u w:val="single"/>
        </w:rPr>
        <w:t>Section 7.03</w:t>
      </w:r>
      <w:r>
        <w:rPr>
          <w:rFonts w:ascii="Times New Roman" w:hAnsi="Times New Roman"/>
          <w:color w:val="000000"/>
          <w:sz w:val="20"/>
        </w:rPr>
        <w:t xml:space="preserve"> (i) are not intended to and do not adequately compensate for the harm that would result from a breach of this Agreement and (ii) shall not be construed to diminish or otherwise impair in any respect any party’s right to specific enforcement and (c) the right of specific enforcement is an integral part of the Transactions and without that right none of the Company, Parent and Merger Sub would have entered into this Agreement.  The parties hereto agree not to assert that a remedy of specific enforcement is unenforceable, invalid, contrary to Law or inequitable for any reason, and not to assert that a remedy of monetary damages would provide an adequate remedy or that the parties otherwise have an adequate remedy at law.  The parties hereto acknowledge and agree that any party seeking an injunction or injunctions to prevent breaches of this Agreement and to enforce specifically the terms and provisions of this Agreement in accordance with this </w:t>
      </w:r>
      <w:r>
        <w:rPr>
          <w:rFonts w:ascii="Times New Roman" w:hAnsi="Times New Roman"/>
          <w:color w:val="000000"/>
          <w:sz w:val="20"/>
          <w:u w:val="single"/>
        </w:rPr>
        <w:t>Section 8.08</w:t>
      </w:r>
      <w:r>
        <w:rPr>
          <w:rFonts w:ascii="Times New Roman" w:hAnsi="Times New Roman"/>
          <w:color w:val="000000"/>
          <w:sz w:val="20"/>
        </w:rPr>
        <w:t xml:space="preserve"> shall not be required to provide any bond or other security in connection with any such order or injunction.  If, prior to the Outside Date, any party hereto brings any action, in each case, in accordance with </w:t>
      </w:r>
      <w:r>
        <w:rPr>
          <w:rFonts w:ascii="Times New Roman" w:hAnsi="Times New Roman"/>
          <w:color w:val="000000"/>
          <w:sz w:val="20"/>
          <w:u w:val="single"/>
        </w:rPr>
        <w:t>Section 8.08</w:t>
      </w:r>
      <w:r>
        <w:rPr>
          <w:rFonts w:ascii="Times New Roman" w:hAnsi="Times New Roman"/>
          <w:color w:val="000000"/>
          <w:sz w:val="20"/>
        </w:rPr>
        <w:t>, to enforce specifically the performance of the terms and provisions hereof by any other party, the Outside Date shall automatically be extended (x) for the period during which such action is pending, plus 20 Business Days or (y) by such other time period established by the court presiding over such action, as the case may be.</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8.09.  </w:t>
      </w:r>
      <w:r>
        <w:rPr>
          <w:rFonts w:ascii="Times New Roman" w:hAnsi="Times New Roman"/>
          <w:color w:val="000000"/>
          <w:sz w:val="20"/>
          <w:u w:val="single"/>
        </w:rPr>
        <w:t>WAIVER OF JURY TRIAL</w:t>
      </w:r>
      <w:r>
        <w:rPr>
          <w:rFonts w:ascii="Times New Roman" w:hAnsi="Times New Roman"/>
          <w:color w:val="000000"/>
          <w:sz w:val="20"/>
        </w:rPr>
        <w:t xml:space="preserve">.  EACH PARTY ACKNOWLEDGES AND AGREES THAT ANY CONTROVERSY WHICH MAY ARISE UNDER THIS AGREEMENT IS LIKELY TO INVOLVE COMPLICATED AND DIFFICULT ISSUES, AND THEREFORE IT HEREBY IRREVOCABLY AND UNCONDITIONALLY WAIVES, TO THE FULLEST EXTENT PERMITTED BY APPLICABLE LAW, ANY RIGHT IT MAY HAVE TO A TRIAL BY JURY IN RESPECT OF ANY LITIGATION DIRECTLY OR INDIRECTLY ARISING OUT OF OR RELATING TO THIS AGREEMENT AND ANY OF THE AGREEMENTS DELIVERED IN CONNECTION HEREWITH OR THE TRANSACTIONS CONTEMPLATED HEREBY OR THEREBY.  EACH PARTY CERTIFIES AND ACKNOWLEDGES THAT (A) NO REPRESENTATIVE, AGENT OR ATTORNEY OF ANY OTHER PARTY HAS REPRESENTED, EXPRESSLY OR OTHERWISE, THAT SUCH OTHER PARTY WOULD NOT, IN THE EVENT OF LITIGATION, SEEK TO ENFORCE THE FOREGOING WAIVER, (B) IT UNDERSTANDS AND HAS CONSIDERED THE IMPLICATIONS OF SUCH WAIVER, (C) IT MAKES SUCH WAIVER VOLUNTARILY AND (D) IT HAS BEEN INDUCED TO ENTER INTO THIS AGREEMENT BY, AMONG OTHER THINGS, THE MUTUAL WAIVER AND CERTIFICATIONS IN THIS </w:t>
      </w:r>
      <w:r>
        <w:rPr>
          <w:rFonts w:ascii="Times New Roman" w:hAnsi="Times New Roman"/>
          <w:color w:val="000000"/>
          <w:sz w:val="20"/>
          <w:u w:val="single"/>
        </w:rPr>
        <w:t>SECTION 8.09</w:t>
      </w:r>
      <w:r>
        <w:rPr>
          <w:rFonts w:ascii="Times New Roman" w:hAnsi="Times New Roman"/>
          <w:color w:val="000000"/>
          <w:sz w:val="20"/>
        </w:rPr>
        <w: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71</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8.10.  </w:t>
      </w:r>
      <w:r>
        <w:rPr>
          <w:rFonts w:ascii="Times New Roman" w:hAnsi="Times New Roman"/>
          <w:color w:val="000000"/>
          <w:sz w:val="20"/>
          <w:u w:val="single"/>
        </w:rPr>
        <w:t>Notices</w:t>
      </w:r>
      <w:r>
        <w:rPr>
          <w:rFonts w:ascii="Times New Roman" w:hAnsi="Times New Roman"/>
          <w:color w:val="000000"/>
          <w:sz w:val="20"/>
        </w:rPr>
        <w:t>.  All notices, requests and other communications to any party hereunder shall be in writing and shall be deemed given if delivered personally, emailed (unless an automated message indicating non-delivery is received with respect thereto) or sent by nationally recognized overnight courier (providing proof of delivery) to the parties at the following addresses:</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If to Parent or Merger Sub, to it at:</w:t>
      </w:r>
    </w:p>
    <w:p>
      <w:pPr>
        <w:pStyle w:val="TextBody"/>
        <w:bidi w:val="0"/>
        <w:spacing w:before="0" w:after="0"/>
        <w:jc w:val="left"/>
        <w:rPr/>
      </w:pPr>
      <w:r>
        <w:rPr/>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c/o Universal Health Services, Inc.</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367 South Gulph Road</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King of Prussia, PA 19406</w:t>
        <w:br/>
        <w:t>Attention:  Matthew D. Klein, Senior Vice President and General Counsel</w:t>
        <w:br/>
        <w:t>Email: [*]</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with a copy (which shall not constitute notice) to:</w:t>
      </w:r>
    </w:p>
    <w:p>
      <w:pPr>
        <w:pStyle w:val="TextBody"/>
        <w:bidi w:val="0"/>
        <w:spacing w:before="0" w:after="0"/>
        <w:jc w:val="left"/>
        <w:rPr/>
      </w:pPr>
      <w:r>
        <w:rPr/>
      </w:r>
    </w:p>
    <w:p>
      <w:pPr>
        <w:pStyle w:val="TextBody"/>
        <w:bidi w:val="0"/>
        <w:spacing w:before="0" w:after="0"/>
        <w:ind w:left="720" w:right="0" w:firstLine="1440"/>
        <w:jc w:val="left"/>
        <w:rPr>
          <w:rFonts w:ascii="Times New Roman" w:hAnsi="Times New Roman"/>
          <w:color w:val="000000"/>
          <w:sz w:val="20"/>
        </w:rPr>
      </w:pPr>
      <w:r>
        <w:rPr>
          <w:rFonts w:ascii="Times New Roman" w:hAnsi="Times New Roman"/>
          <w:color w:val="000000"/>
          <w:sz w:val="20"/>
        </w:rPr>
        <w:t>McDermott Will &amp; Schulte LLP</w:t>
      </w:r>
    </w:p>
    <w:p>
      <w:pPr>
        <w:pStyle w:val="TextBody"/>
        <w:bidi w:val="0"/>
        <w:spacing w:before="0" w:after="0"/>
        <w:ind w:left="720" w:right="0" w:firstLine="1440"/>
        <w:jc w:val="left"/>
        <w:rPr>
          <w:rFonts w:ascii="Times New Roman" w:hAnsi="Times New Roman"/>
          <w:color w:val="000000"/>
          <w:sz w:val="20"/>
        </w:rPr>
      </w:pPr>
      <w:r>
        <w:rPr>
          <w:rFonts w:ascii="Times New Roman" w:hAnsi="Times New Roman"/>
          <w:color w:val="000000"/>
          <w:sz w:val="20"/>
        </w:rPr>
        <w:t>444 West Lake Street, Suite 4000</w:t>
      </w:r>
    </w:p>
    <w:p>
      <w:pPr>
        <w:pStyle w:val="TextBody"/>
        <w:bidi w:val="0"/>
        <w:spacing w:before="0" w:after="0"/>
        <w:ind w:left="720" w:right="0" w:firstLine="1440"/>
        <w:jc w:val="left"/>
        <w:rPr>
          <w:rFonts w:ascii="Times New Roman" w:hAnsi="Times New Roman"/>
          <w:color w:val="000000"/>
          <w:sz w:val="20"/>
        </w:rPr>
      </w:pPr>
      <w:r>
        <w:rPr>
          <w:rFonts w:ascii="Times New Roman" w:hAnsi="Times New Roman"/>
          <w:color w:val="000000"/>
          <w:sz w:val="20"/>
        </w:rPr>
        <w:t>Chicago, IL 60606</w:t>
      </w:r>
    </w:p>
    <w:p>
      <w:pPr>
        <w:pStyle w:val="TextBody"/>
        <w:bidi w:val="0"/>
        <w:spacing w:before="0" w:after="0"/>
        <w:ind w:left="720" w:right="0" w:firstLine="1440"/>
        <w:jc w:val="left"/>
        <w:rPr>
          <w:rFonts w:ascii="Times New Roman" w:hAnsi="Times New Roman"/>
          <w:color w:val="000000"/>
          <w:sz w:val="20"/>
        </w:rPr>
      </w:pPr>
      <w:r>
        <w:rPr>
          <w:rFonts w:ascii="Times New Roman" w:hAnsi="Times New Roman"/>
          <w:color w:val="000000"/>
          <w:sz w:val="20"/>
        </w:rPr>
        <w:t>Attention: Eric Orsic</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Email: eorsic@mcdermottlaw.com</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If to the Company, to it at:</w:t>
      </w:r>
    </w:p>
    <w:p>
      <w:pPr>
        <w:pStyle w:val="TextBody"/>
        <w:bidi w:val="0"/>
        <w:spacing w:before="0" w:after="0"/>
        <w:jc w:val="left"/>
        <w:rPr/>
      </w:pPr>
      <w:r>
        <w:rPr/>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Talkspace, Inc.</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P.O. Box 659</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Portsmouth, NH 03802</w:t>
        <w:br/>
        <w:t>Attention:  Legal Department</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Email: [*]</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with copies (which shall not constitute notice) to:</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8" w:name="zfca6d6dfd50e4d37bd49385daea8648f"/>
      <w:bookmarkStart w:id="9" w:name="zfca6d6dfd50e4d37bd49385daea8648f"/>
      <w:bookmarkEnd w:id="9"/>
    </w:p>
    <w:tbl>
      <w:tblPr>
        <w:tblW w:w="3049" w:type="dxa"/>
        <w:jc w:val="left"/>
        <w:tblInd w:w="0" w:type="dxa"/>
        <w:tblLayout w:type="fixed"/>
        <w:tblCellMar>
          <w:top w:w="0" w:type="dxa"/>
          <w:left w:w="0" w:type="dxa"/>
          <w:bottom w:w="0" w:type="dxa"/>
          <w:right w:w="0" w:type="dxa"/>
        </w:tblCellMar>
      </w:tblPr>
      <w:tblGrid>
        <w:gridCol w:w="1003"/>
        <w:gridCol w:w="2046"/>
      </w:tblGrid>
      <w:tr>
        <w:trPr/>
        <w:tc>
          <w:tcPr>
            <w:tcW w:w="3049" w:type="dxa"/>
            <w:gridSpan w:val="2"/>
            <w:tcBorders/>
            <w:vAlign w:val="center"/>
          </w:tcPr>
          <w:p>
            <w:pPr>
              <w:pStyle w:val="TableContents"/>
              <w:bidi w:val="0"/>
              <w:spacing w:before="0" w:after="0"/>
              <w:ind w:left="2160" w:right="0" w:hanging="0"/>
              <w:jc w:val="left"/>
              <w:rPr/>
            </w:pPr>
            <w:r>
              <w:rPr/>
              <w:t>Cravath, Swaine &amp; Moore LLP</w:t>
            </w:r>
          </w:p>
        </w:tc>
      </w:tr>
      <w:tr>
        <w:trPr/>
        <w:tc>
          <w:tcPr>
            <w:tcW w:w="3049" w:type="dxa"/>
            <w:gridSpan w:val="2"/>
            <w:tcBorders/>
            <w:vAlign w:val="center"/>
          </w:tcPr>
          <w:p>
            <w:pPr>
              <w:pStyle w:val="TableContents"/>
              <w:bidi w:val="0"/>
              <w:spacing w:before="0" w:after="0"/>
              <w:ind w:left="2160" w:right="0" w:hanging="0"/>
              <w:jc w:val="left"/>
              <w:rPr/>
            </w:pPr>
            <w:r>
              <w:rPr/>
              <w:t>Two Manhattan West</w:t>
            </w:r>
          </w:p>
        </w:tc>
      </w:tr>
      <w:tr>
        <w:trPr/>
        <w:tc>
          <w:tcPr>
            <w:tcW w:w="3049" w:type="dxa"/>
            <w:gridSpan w:val="2"/>
            <w:tcBorders/>
            <w:vAlign w:val="center"/>
          </w:tcPr>
          <w:p>
            <w:pPr>
              <w:pStyle w:val="TableContents"/>
              <w:bidi w:val="0"/>
              <w:spacing w:before="0" w:after="0"/>
              <w:ind w:left="2160" w:right="0" w:hanging="0"/>
              <w:jc w:val="left"/>
              <w:rPr/>
            </w:pPr>
            <w:r>
              <w:rPr/>
              <w:t>375 Ninth Avenue</w:t>
            </w:r>
          </w:p>
        </w:tc>
      </w:tr>
      <w:tr>
        <w:trPr/>
        <w:tc>
          <w:tcPr>
            <w:tcW w:w="3049" w:type="dxa"/>
            <w:gridSpan w:val="2"/>
            <w:tcBorders/>
            <w:vAlign w:val="center"/>
          </w:tcPr>
          <w:p>
            <w:pPr>
              <w:pStyle w:val="TableContents"/>
              <w:bidi w:val="0"/>
              <w:spacing w:before="0" w:after="0"/>
              <w:ind w:left="2160" w:right="0" w:hanging="0"/>
              <w:jc w:val="left"/>
              <w:rPr/>
            </w:pPr>
            <w:r>
              <w:rPr/>
              <w:t>New York, NY 10001</w:t>
            </w:r>
          </w:p>
        </w:tc>
      </w:tr>
      <w:tr>
        <w:trPr/>
        <w:tc>
          <w:tcPr>
            <w:tcW w:w="1003" w:type="dxa"/>
            <w:tcBorders/>
            <w:vAlign w:val="center"/>
          </w:tcPr>
          <w:p>
            <w:pPr>
              <w:pStyle w:val="TableContents"/>
              <w:bidi w:val="0"/>
              <w:spacing w:before="0" w:after="0"/>
              <w:ind w:left="2160" w:right="0" w:hanging="0"/>
              <w:jc w:val="left"/>
              <w:rPr/>
            </w:pPr>
            <w:r>
              <w:rPr/>
              <w:t>Attention:</w:t>
            </w:r>
          </w:p>
        </w:tc>
        <w:tc>
          <w:tcPr>
            <w:tcW w:w="2046" w:type="dxa"/>
            <w:tcBorders/>
            <w:vAlign w:val="center"/>
          </w:tcPr>
          <w:p>
            <w:pPr>
              <w:pStyle w:val="TableContents"/>
              <w:bidi w:val="0"/>
              <w:spacing w:before="0" w:after="0"/>
              <w:jc w:val="left"/>
              <w:rPr/>
            </w:pPr>
            <w:r>
              <w:rPr/>
              <w:t>Minh Van Ngo</w:t>
            </w:r>
          </w:p>
        </w:tc>
      </w:tr>
      <w:tr>
        <w:trPr/>
        <w:tc>
          <w:tcPr>
            <w:tcW w:w="1003" w:type="dxa"/>
            <w:tcBorders/>
            <w:vAlign w:val="center"/>
          </w:tcPr>
          <w:p>
            <w:pPr>
              <w:pStyle w:val="TableContents"/>
              <w:bidi w:val="0"/>
              <w:spacing w:before="0" w:after="283"/>
              <w:jc w:val="left"/>
              <w:rPr/>
            </w:pPr>
            <w:r>
              <w:rPr/>
              <w:t> </w:t>
            </w:r>
          </w:p>
        </w:tc>
        <w:tc>
          <w:tcPr>
            <w:tcW w:w="2046" w:type="dxa"/>
            <w:tcBorders/>
            <w:vAlign w:val="center"/>
          </w:tcPr>
          <w:p>
            <w:pPr>
              <w:pStyle w:val="TableContents"/>
              <w:bidi w:val="0"/>
              <w:spacing w:before="0" w:after="0"/>
              <w:jc w:val="left"/>
              <w:rPr/>
            </w:pPr>
            <w:r>
              <w:rPr/>
              <w:t>Andrew M. Wark</w:t>
            </w:r>
          </w:p>
        </w:tc>
      </w:tr>
      <w:tr>
        <w:trPr/>
        <w:tc>
          <w:tcPr>
            <w:tcW w:w="1003" w:type="dxa"/>
            <w:tcBorders/>
            <w:vAlign w:val="center"/>
          </w:tcPr>
          <w:p>
            <w:pPr>
              <w:pStyle w:val="TableContents"/>
              <w:bidi w:val="0"/>
              <w:spacing w:before="0" w:after="0"/>
              <w:ind w:left="2160" w:right="0" w:hanging="0"/>
              <w:jc w:val="left"/>
              <w:rPr/>
            </w:pPr>
            <w:r>
              <w:rPr/>
              <w:t>Email:</w:t>
            </w:r>
          </w:p>
        </w:tc>
        <w:tc>
          <w:tcPr>
            <w:tcW w:w="2046" w:type="dxa"/>
            <w:tcBorders/>
            <w:vAlign w:val="center"/>
          </w:tcPr>
          <w:p>
            <w:pPr>
              <w:pStyle w:val="TableContents"/>
              <w:bidi w:val="0"/>
              <w:spacing w:before="0" w:after="0"/>
              <w:jc w:val="left"/>
              <w:rPr/>
            </w:pPr>
            <w:r>
              <w:rPr/>
              <w:t>mngo@cravath.com</w:t>
            </w:r>
          </w:p>
        </w:tc>
      </w:tr>
      <w:tr>
        <w:trPr/>
        <w:tc>
          <w:tcPr>
            <w:tcW w:w="1003" w:type="dxa"/>
            <w:tcBorders/>
            <w:vAlign w:val="center"/>
          </w:tcPr>
          <w:p>
            <w:pPr>
              <w:pStyle w:val="TableContents"/>
              <w:bidi w:val="0"/>
              <w:spacing w:before="0" w:after="283"/>
              <w:jc w:val="left"/>
              <w:rPr/>
            </w:pPr>
            <w:r>
              <w:rPr/>
              <w:t> </w:t>
            </w:r>
          </w:p>
        </w:tc>
        <w:tc>
          <w:tcPr>
            <w:tcW w:w="2046" w:type="dxa"/>
            <w:tcBorders/>
            <w:vAlign w:val="center"/>
          </w:tcPr>
          <w:p>
            <w:pPr>
              <w:pStyle w:val="TableContents"/>
              <w:bidi w:val="0"/>
              <w:spacing w:before="0" w:after="0"/>
              <w:jc w:val="left"/>
              <w:rPr/>
            </w:pPr>
            <w:r>
              <w:rPr/>
              <w:t>awark@cravath.com</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or such other address or email address as such party may hereafter specify by like notice to the other parties hereto.  All such notices, requests and other communications shall be in writing and shall be deemed to have been received on the earliest of (i) the date when personally delivered, (ii) the date when transmitted via electronic e-mail address (unless an automated message indicating non-delivery is received with respect thereto) or (iii) the next succeeding Business Day following the day on which the same has been delivered prepaid to a reputable national overnight air courier service. </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72</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8.11.  </w:t>
      </w:r>
      <w:r>
        <w:rPr>
          <w:rFonts w:ascii="Times New Roman" w:hAnsi="Times New Roman"/>
          <w:color w:val="000000"/>
          <w:sz w:val="20"/>
          <w:u w:val="single"/>
        </w:rPr>
        <w:t>Severability</w:t>
      </w:r>
      <w:r>
        <w:rPr>
          <w:rFonts w:ascii="Times New Roman" w:hAnsi="Times New Roman"/>
          <w:color w:val="000000"/>
          <w:sz w:val="20"/>
        </w:rPr>
        <w:t>.  If any term, condition or other provision of this Agreement is determined by a court of competent jurisdiction to be invalid, illegal or incapable of being enforced by any rule of Law or public policy, all other terms, provisions and conditions of this Agreement shall nevertheless remain in full force and effect.  Upon such determination that any term, condition or other provision is invalid, illegal or incapable of being enforced, the parties hereto shall negotiate in good faith to modify this Agreement so as to effect the original intent of the parties as closely as possible to the fullest extent permitted by applicable Law.</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8.12.  </w:t>
      </w:r>
      <w:r>
        <w:rPr>
          <w:rFonts w:ascii="Times New Roman" w:hAnsi="Times New Roman"/>
          <w:color w:val="000000"/>
          <w:sz w:val="20"/>
          <w:u w:val="single"/>
        </w:rPr>
        <w:t>Definitions</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(a)  As used in this Agreement, the following terms have the meanings ascribed thereto below:</w:t>
      </w:r>
    </w:p>
    <w:p>
      <w:pPr>
        <w:pStyle w:val="TextBody"/>
        <w:bidi w:val="0"/>
        <w:spacing w:before="0" w:after="0"/>
        <w:jc w:val="left"/>
        <w:rPr/>
      </w:pPr>
      <w:r>
        <w:rPr/>
      </w:r>
    </w:p>
    <w:p>
      <w:pPr>
        <w:pStyle w:val="TextBody"/>
        <w:bidi w:val="0"/>
        <w:spacing w:before="0" w:after="0"/>
        <w:ind w:left="0" w:right="0" w:firstLine="1440"/>
        <w:jc w:val="left"/>
        <w:rPr>
          <w:color w:val="000000"/>
        </w:rPr>
      </w:pPr>
      <w:r>
        <w:rPr>
          <w:color w:val="000000"/>
        </w:rPr>
        <w:t>“</w:t>
      </w:r>
      <w:r>
        <w:rPr>
          <w:rFonts w:ascii="Times New Roman" w:hAnsi="Times New Roman"/>
          <w:color w:val="000000"/>
          <w:sz w:val="20"/>
          <w:u w:val="single"/>
        </w:rPr>
        <w:t>Affiliate</w:t>
      </w:r>
      <w:r>
        <w:rPr>
          <w:rFonts w:ascii="Times New Roman" w:hAnsi="Times New Roman"/>
          <w:color w:val="000000"/>
          <w:sz w:val="20"/>
        </w:rPr>
        <w:t>” means, as to any Person, any other Person that, directly or indirectly, controls, or is controlled by, or is under common control with, such Person.  For this purpose, “control” (including, with its correlative meanings, “controlled by” and “under common control with”) shall mean the possession, directly or indirectly, of the power to direct or cause the direction of management or policies of a Person, whether through the ownership of securities or partnership or other ownership interests, by contract or otherwise.</w:t>
      </w:r>
    </w:p>
    <w:p>
      <w:pPr>
        <w:pStyle w:val="TextBody"/>
        <w:bidi w:val="0"/>
        <w:spacing w:before="0" w:after="0"/>
        <w:jc w:val="left"/>
        <w:rPr/>
      </w:pPr>
      <w:r>
        <w:rPr/>
      </w:r>
    </w:p>
    <w:p>
      <w:pPr>
        <w:pStyle w:val="TextBody"/>
        <w:bidi w:val="0"/>
        <w:spacing w:before="0" w:after="0"/>
        <w:ind w:left="0" w:right="0" w:firstLine="1440"/>
        <w:jc w:val="left"/>
        <w:rPr>
          <w:color w:val="000000"/>
        </w:rPr>
      </w:pPr>
      <w:r>
        <w:rPr>
          <w:color w:val="000000"/>
        </w:rPr>
        <w:t>“</w:t>
      </w:r>
      <w:r>
        <w:rPr>
          <w:rFonts w:ascii="Times New Roman" w:hAnsi="Times New Roman"/>
          <w:color w:val="000000"/>
          <w:sz w:val="20"/>
          <w:u w:val="single"/>
        </w:rPr>
        <w:t>Affiliated Professional Entity</w:t>
      </w:r>
      <w:r>
        <w:rPr>
          <w:rFonts w:ascii="Times New Roman" w:hAnsi="Times New Roman"/>
          <w:color w:val="000000"/>
          <w:sz w:val="20"/>
        </w:rPr>
        <w:t>” means any entity that provides professional medical, psychology, or other therapy services and to which the Company or any of its Subsidiaries provides comprehensive administrative and back office support services under a management or administrative services agreement.</w:t>
      </w:r>
    </w:p>
    <w:p>
      <w:pPr>
        <w:pStyle w:val="TextBody"/>
        <w:bidi w:val="0"/>
        <w:spacing w:before="0" w:after="0"/>
        <w:jc w:val="left"/>
        <w:rPr/>
      </w:pPr>
      <w:r>
        <w:rPr/>
      </w:r>
    </w:p>
    <w:p>
      <w:pPr>
        <w:pStyle w:val="TextBody"/>
        <w:bidi w:val="0"/>
        <w:spacing w:before="0" w:after="0"/>
        <w:ind w:left="0" w:right="0" w:firstLine="1440"/>
        <w:jc w:val="left"/>
        <w:rPr>
          <w:color w:val="000000"/>
        </w:rPr>
      </w:pPr>
      <w:r>
        <w:rPr>
          <w:color w:val="000000"/>
        </w:rPr>
        <w:t>“</w:t>
      </w:r>
      <w:r>
        <w:rPr>
          <w:rFonts w:ascii="Times New Roman" w:hAnsi="Times New Roman"/>
          <w:color w:val="000000"/>
          <w:sz w:val="20"/>
          <w:u w:val="single"/>
        </w:rPr>
        <w:t>Antitrust Laws</w:t>
      </w:r>
      <w:r>
        <w:rPr>
          <w:rFonts w:ascii="Times New Roman" w:hAnsi="Times New Roman"/>
          <w:color w:val="000000"/>
          <w:sz w:val="20"/>
        </w:rPr>
        <w:t>” means the Sherman Antitrust Act of 1890, the Clayton Antitrust Act of 1914, the HSR Act, the Federal Trade Commission Act of 1914, all other applicable federal, state or foreign antitrust Laws and all other applicable Laws issued by a Governmental Authority that are designed or intended to preserve or protect competition or prohibit, restrict or regulate actions having the purpose or effect of monopolization, restraint of trade, abuse of a dominant position or lessening of competition through merger or acquisition.</w:t>
      </w:r>
    </w:p>
    <w:p>
      <w:pPr>
        <w:pStyle w:val="TextBody"/>
        <w:bidi w:val="0"/>
        <w:spacing w:before="0" w:after="0"/>
        <w:jc w:val="left"/>
        <w:rPr/>
      </w:pPr>
      <w:r>
        <w:rPr/>
      </w:r>
    </w:p>
    <w:p>
      <w:pPr>
        <w:pStyle w:val="TextBody"/>
        <w:bidi w:val="0"/>
        <w:spacing w:before="0" w:after="0"/>
        <w:ind w:left="0" w:right="0" w:firstLine="1440"/>
        <w:jc w:val="left"/>
        <w:rPr>
          <w:color w:val="000000"/>
        </w:rPr>
      </w:pPr>
      <w:r>
        <w:rPr>
          <w:color w:val="000000"/>
        </w:rPr>
        <w:t>“</w:t>
      </w:r>
      <w:r>
        <w:rPr>
          <w:rFonts w:ascii="Times New Roman" w:hAnsi="Times New Roman"/>
          <w:color w:val="000000"/>
          <w:sz w:val="20"/>
          <w:u w:val="single"/>
        </w:rPr>
        <w:t>Business Day</w:t>
      </w:r>
      <w:r>
        <w:rPr>
          <w:rFonts w:ascii="Times New Roman" w:hAnsi="Times New Roman"/>
          <w:color w:val="000000"/>
          <w:sz w:val="20"/>
        </w:rPr>
        <w:t>” means a day except a Saturday, a Sunday or other day on which the banking institutions in the City of New York, New York are authorized or required by Law or executive order to be closed.</w:t>
      </w:r>
    </w:p>
    <w:p>
      <w:pPr>
        <w:pStyle w:val="TextBody"/>
        <w:bidi w:val="0"/>
        <w:spacing w:before="0" w:after="0"/>
        <w:jc w:val="left"/>
        <w:rPr/>
      </w:pPr>
      <w:r>
        <w:rPr/>
      </w:r>
    </w:p>
    <w:p>
      <w:pPr>
        <w:pStyle w:val="TextBody"/>
        <w:bidi w:val="0"/>
        <w:spacing w:before="0" w:after="0"/>
        <w:ind w:left="0" w:right="0" w:firstLine="1440"/>
        <w:jc w:val="left"/>
        <w:rPr>
          <w:color w:val="000000"/>
        </w:rPr>
      </w:pPr>
      <w:r>
        <w:rPr>
          <w:color w:val="000000"/>
        </w:rPr>
        <w:t>“</w:t>
      </w:r>
      <w:r>
        <w:rPr>
          <w:rFonts w:ascii="Times New Roman" w:hAnsi="Times New Roman"/>
          <w:color w:val="000000"/>
          <w:sz w:val="20"/>
          <w:u w:val="single"/>
        </w:rPr>
        <w:t>Code</w:t>
      </w:r>
      <w:r>
        <w:rPr>
          <w:rFonts w:ascii="Times New Roman" w:hAnsi="Times New Roman"/>
          <w:color w:val="000000"/>
          <w:sz w:val="20"/>
        </w:rPr>
        <w:t>” means the Internal Revenue Code of 1986.</w:t>
      </w:r>
    </w:p>
    <w:p>
      <w:pPr>
        <w:pStyle w:val="TextBody"/>
        <w:bidi w:val="0"/>
        <w:spacing w:before="0" w:after="0"/>
        <w:jc w:val="left"/>
        <w:rPr/>
      </w:pPr>
      <w:r>
        <w:rPr/>
      </w:r>
    </w:p>
    <w:p>
      <w:pPr>
        <w:pStyle w:val="TextBody"/>
        <w:bidi w:val="0"/>
        <w:spacing w:before="0" w:after="0"/>
        <w:ind w:left="0" w:right="0" w:firstLine="1440"/>
        <w:jc w:val="left"/>
        <w:rPr>
          <w:color w:val="000000"/>
        </w:rPr>
      </w:pPr>
      <w:r>
        <w:rPr>
          <w:color w:val="000000"/>
        </w:rPr>
        <w:t>“</w:t>
      </w:r>
      <w:r>
        <w:rPr>
          <w:rFonts w:ascii="Times New Roman" w:hAnsi="Times New Roman"/>
          <w:color w:val="000000"/>
          <w:sz w:val="20"/>
          <w:u w:val="single"/>
        </w:rPr>
        <w:t>Collective Bargaining Agreement</w:t>
      </w:r>
      <w:r>
        <w:rPr>
          <w:rFonts w:ascii="Times New Roman" w:hAnsi="Times New Roman"/>
          <w:color w:val="000000"/>
          <w:sz w:val="20"/>
        </w:rPr>
        <w:t>” means each collective bargaining, works council or other labor union Contract or labor arrangement covering any employee of the Company or any of its Subsidiaries or any of the Affiliated Professional Entities, excluding any national, industry or similar generally applicable Contract or arrangement.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73</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1440"/>
        <w:jc w:val="left"/>
        <w:rPr>
          <w:color w:val="000000"/>
        </w:rPr>
      </w:pPr>
      <w:r>
        <w:rPr>
          <w:color w:val="000000"/>
        </w:rPr>
        <w:t>“</w:t>
      </w:r>
      <w:r>
        <w:rPr>
          <w:rFonts w:ascii="Times New Roman" w:hAnsi="Times New Roman"/>
          <w:color w:val="000000"/>
          <w:sz w:val="20"/>
          <w:u w:val="single"/>
        </w:rPr>
        <w:t>Commonly Controlled Entity</w:t>
      </w:r>
      <w:r>
        <w:rPr>
          <w:rFonts w:ascii="Times New Roman" w:hAnsi="Times New Roman"/>
          <w:color w:val="000000"/>
          <w:sz w:val="20"/>
        </w:rPr>
        <w:t>” means any Person or entity that, together with the Company or any of its Subsidiaries, is treated as a single employer under Section 414(b), (c), (m) or (o) of the Code.</w:t>
      </w:r>
    </w:p>
    <w:p>
      <w:pPr>
        <w:pStyle w:val="TextBody"/>
        <w:bidi w:val="0"/>
        <w:spacing w:before="0" w:after="0"/>
        <w:jc w:val="left"/>
        <w:rPr/>
      </w:pPr>
      <w:r>
        <w:rPr/>
      </w:r>
    </w:p>
    <w:p>
      <w:pPr>
        <w:pStyle w:val="TextBody"/>
        <w:bidi w:val="0"/>
        <w:spacing w:before="0" w:after="0"/>
        <w:ind w:left="0" w:right="0" w:firstLine="1440"/>
        <w:jc w:val="left"/>
        <w:rPr>
          <w:color w:val="000000"/>
        </w:rPr>
      </w:pPr>
      <w:r>
        <w:rPr>
          <w:color w:val="000000"/>
        </w:rPr>
        <w:t>“</w:t>
      </w:r>
      <w:r>
        <w:rPr>
          <w:rFonts w:ascii="Times New Roman" w:hAnsi="Times New Roman"/>
          <w:color w:val="000000"/>
          <w:sz w:val="20"/>
          <w:u w:val="single"/>
        </w:rPr>
        <w:t>Company Charter Documents</w:t>
      </w:r>
      <w:r>
        <w:rPr>
          <w:rFonts w:ascii="Times New Roman" w:hAnsi="Times New Roman"/>
          <w:color w:val="000000"/>
          <w:sz w:val="20"/>
        </w:rPr>
        <w:t>” means the Company’s certificate of incorporation and bylaws, each as amended or amended and restated, as the case may be, and as in effect on the date hereof.</w:t>
      </w:r>
    </w:p>
    <w:p>
      <w:pPr>
        <w:pStyle w:val="TextBody"/>
        <w:bidi w:val="0"/>
        <w:spacing w:before="0" w:after="0"/>
        <w:jc w:val="left"/>
        <w:rPr/>
      </w:pPr>
      <w:r>
        <w:rPr/>
      </w:r>
    </w:p>
    <w:p>
      <w:pPr>
        <w:pStyle w:val="TextBody"/>
        <w:bidi w:val="0"/>
        <w:spacing w:before="0" w:after="0"/>
        <w:ind w:left="0" w:right="0" w:firstLine="1440"/>
        <w:jc w:val="left"/>
        <w:rPr>
          <w:color w:val="000000"/>
        </w:rPr>
      </w:pPr>
      <w:r>
        <w:rPr>
          <w:color w:val="000000"/>
        </w:rPr>
        <w:t>“</w:t>
      </w:r>
      <w:r>
        <w:rPr>
          <w:rFonts w:ascii="Times New Roman" w:hAnsi="Times New Roman"/>
          <w:color w:val="000000"/>
          <w:sz w:val="20"/>
          <w:u w:val="single"/>
        </w:rPr>
        <w:t>Company IT Assets</w:t>
      </w:r>
      <w:r>
        <w:rPr>
          <w:rFonts w:ascii="Times New Roman" w:hAnsi="Times New Roman"/>
          <w:color w:val="000000"/>
          <w:sz w:val="20"/>
        </w:rPr>
        <w:t>” means the computer and other information technology systems, including hardware, Software, computer systems, databases and documentation, reference and resource materials relating thereto that are owned, leased or licensed and, in each of the foregoing cases, controlled by the Company or any of its Subsidiaries or any of the Affiliated Professional Entities and used in the operation of the businesses of the Company or any of its Subsidiaries or any of the Affiliated Professional Entities.</w:t>
      </w:r>
    </w:p>
    <w:p>
      <w:pPr>
        <w:pStyle w:val="TextBody"/>
        <w:bidi w:val="0"/>
        <w:spacing w:before="0" w:after="0"/>
        <w:jc w:val="left"/>
        <w:rPr/>
      </w:pPr>
      <w:r>
        <w:rPr/>
      </w:r>
    </w:p>
    <w:p>
      <w:pPr>
        <w:pStyle w:val="TextBody"/>
        <w:bidi w:val="0"/>
        <w:spacing w:before="0" w:after="0"/>
        <w:ind w:left="0" w:right="0" w:firstLine="1440"/>
        <w:jc w:val="left"/>
        <w:rPr>
          <w:color w:val="000000"/>
        </w:rPr>
      </w:pPr>
      <w:r>
        <w:rPr>
          <w:color w:val="000000"/>
        </w:rPr>
        <w:t>“</w:t>
      </w:r>
      <w:r>
        <w:rPr>
          <w:rFonts w:ascii="Times New Roman" w:hAnsi="Times New Roman"/>
          <w:color w:val="000000"/>
          <w:sz w:val="20"/>
          <w:u w:val="single"/>
        </w:rPr>
        <w:t>Company Lease</w:t>
      </w:r>
      <w:r>
        <w:rPr>
          <w:rFonts w:ascii="Times New Roman" w:hAnsi="Times New Roman"/>
          <w:color w:val="000000"/>
          <w:sz w:val="20"/>
        </w:rPr>
        <w:t>” means any lease, sublease, license or other agreement (including any amendments, extensions, renewals, guaranties or other agreements related thereto) pursuant to which the Company or any of its Subsidiaries or any of the Affiliated Professional Entities leases, subleases, licenses, uses or occupies any Leased Real Property.</w:t>
      </w:r>
    </w:p>
    <w:p>
      <w:pPr>
        <w:pStyle w:val="TextBody"/>
        <w:bidi w:val="0"/>
        <w:spacing w:before="0" w:after="0"/>
        <w:jc w:val="left"/>
        <w:rPr/>
      </w:pPr>
      <w:r>
        <w:rPr/>
      </w:r>
    </w:p>
    <w:p>
      <w:pPr>
        <w:pStyle w:val="TextBody"/>
        <w:bidi w:val="0"/>
        <w:spacing w:before="0" w:after="0"/>
        <w:ind w:left="0" w:right="0" w:firstLine="1440"/>
        <w:jc w:val="left"/>
        <w:rPr>
          <w:color w:val="000000"/>
        </w:rPr>
      </w:pPr>
      <w:r>
        <w:rPr>
          <w:color w:val="000000"/>
        </w:rPr>
        <w:t>“</w:t>
      </w:r>
      <w:r>
        <w:rPr>
          <w:rFonts w:ascii="Times New Roman" w:hAnsi="Times New Roman"/>
          <w:color w:val="000000"/>
          <w:sz w:val="20"/>
          <w:u w:val="single"/>
        </w:rPr>
        <w:t>Company RSU</w:t>
      </w:r>
      <w:r>
        <w:rPr>
          <w:rFonts w:ascii="Times New Roman" w:hAnsi="Times New Roman"/>
          <w:color w:val="000000"/>
          <w:sz w:val="20"/>
        </w:rPr>
        <w:t>” means a restricted stock unit with respect to Company Common Stock granted under the Equity Plans.</w:t>
      </w:r>
    </w:p>
    <w:p>
      <w:pPr>
        <w:pStyle w:val="TextBody"/>
        <w:bidi w:val="0"/>
        <w:spacing w:before="0" w:after="0"/>
        <w:jc w:val="left"/>
        <w:rPr/>
      </w:pPr>
      <w:r>
        <w:rPr/>
      </w:r>
    </w:p>
    <w:p>
      <w:pPr>
        <w:pStyle w:val="TextBody"/>
        <w:bidi w:val="0"/>
        <w:spacing w:before="0" w:after="0"/>
        <w:ind w:left="0" w:right="0" w:firstLine="1440"/>
        <w:jc w:val="left"/>
        <w:rPr>
          <w:color w:val="000000"/>
        </w:rPr>
      </w:pPr>
      <w:r>
        <w:rPr>
          <w:color w:val="000000"/>
        </w:rPr>
        <w:t>“</w:t>
      </w:r>
      <w:r>
        <w:rPr>
          <w:rFonts w:ascii="Times New Roman" w:hAnsi="Times New Roman"/>
          <w:color w:val="000000"/>
          <w:sz w:val="20"/>
          <w:u w:val="single"/>
        </w:rPr>
        <w:t>Company Stock Option</w:t>
      </w:r>
      <w:r>
        <w:rPr>
          <w:rFonts w:ascii="Times New Roman" w:hAnsi="Times New Roman"/>
          <w:color w:val="000000"/>
          <w:sz w:val="20"/>
        </w:rPr>
        <w:t>” means an option to purchase shares of Company Common Stock granted under the Equity Plans.</w:t>
      </w:r>
    </w:p>
    <w:p>
      <w:pPr>
        <w:pStyle w:val="TextBody"/>
        <w:bidi w:val="0"/>
        <w:spacing w:before="0" w:after="0"/>
        <w:jc w:val="left"/>
        <w:rPr/>
      </w:pPr>
      <w:r>
        <w:rPr/>
      </w:r>
    </w:p>
    <w:p>
      <w:pPr>
        <w:pStyle w:val="TextBody"/>
        <w:bidi w:val="0"/>
        <w:spacing w:before="0" w:after="0"/>
        <w:ind w:left="0" w:right="0" w:firstLine="1440"/>
        <w:jc w:val="left"/>
        <w:rPr>
          <w:color w:val="000000"/>
        </w:rPr>
      </w:pPr>
      <w:r>
        <w:rPr>
          <w:color w:val="000000"/>
        </w:rPr>
        <w:t>“</w:t>
      </w:r>
      <w:r>
        <w:rPr>
          <w:rFonts w:ascii="Times New Roman" w:hAnsi="Times New Roman"/>
          <w:color w:val="000000"/>
          <w:sz w:val="20"/>
          <w:u w:val="single"/>
        </w:rPr>
        <w:t>Company Plan</w:t>
      </w:r>
      <w:r>
        <w:rPr>
          <w:rFonts w:ascii="Times New Roman" w:hAnsi="Times New Roman"/>
          <w:color w:val="000000"/>
          <w:sz w:val="20"/>
        </w:rPr>
        <w:t>” means each plan, program, policy, agreement or other arrangement covering current or former directors, employees or individual consultants of the Company or any of its Subsidiaries or any of the Affiliated Professional Entities that is (a) an employee welfare plan within the meaning of Section 3(1) of ERISA (whether or not subject to ERISA), (b) an employee pension benefit plan within the meaning of Section 3(2) of ERISA, (c) a stock option, stock purchase or other equity or equity-based agreement, program or plan, (d) an individual employment, consulting, change-in-control, severance, retention or other similar agreement or (e) a bonus, incentive, deferred compensation, profit-sharing, retirement, post-retirement, health or welfare, vacation, severance or termination pay, benefit or fringe benefit plan, program, policy, agreement or other arrangement, in each case, that is sponsored, maintained or contributed to by the Company or any of its Subsidiaries or any of the Affiliated Professional Entities or which the Company or any of its Subsidiaries or any of the Affiliated Professional Entities is obligated to sponsor, maintain or contribute to, other than any plan, program, policy, agreement or arrangement mandated by applicable Law.</w:t>
      </w:r>
    </w:p>
    <w:p>
      <w:pPr>
        <w:pStyle w:val="TextBody"/>
        <w:bidi w:val="0"/>
        <w:spacing w:before="0" w:after="0"/>
        <w:jc w:val="left"/>
        <w:rPr/>
      </w:pPr>
      <w:r>
        <w:rPr/>
      </w:r>
    </w:p>
    <w:p>
      <w:pPr>
        <w:pStyle w:val="TextBody"/>
        <w:bidi w:val="0"/>
        <w:spacing w:before="0" w:after="0"/>
        <w:ind w:left="0" w:right="0" w:firstLine="1440"/>
        <w:jc w:val="left"/>
        <w:rPr>
          <w:color w:val="000000"/>
        </w:rPr>
      </w:pPr>
      <w:r>
        <w:rPr>
          <w:color w:val="000000"/>
        </w:rPr>
        <w:t>“</w:t>
      </w:r>
      <w:r>
        <w:rPr>
          <w:rFonts w:ascii="Times New Roman" w:hAnsi="Times New Roman"/>
          <w:color w:val="000000"/>
          <w:sz w:val="20"/>
          <w:u w:val="single"/>
        </w:rPr>
        <w:t>Company Warrants</w:t>
      </w:r>
      <w:r>
        <w:rPr>
          <w:rFonts w:ascii="Times New Roman" w:hAnsi="Times New Roman"/>
          <w:color w:val="000000"/>
          <w:sz w:val="20"/>
        </w:rPr>
        <w:t>” means, together, the Public Warrants and the Private Placement Warrants, each as defined in the Warrant Agreement.</w:t>
      </w:r>
    </w:p>
    <w:p>
      <w:pPr>
        <w:pStyle w:val="TextBody"/>
        <w:bidi w:val="0"/>
        <w:spacing w:before="0" w:after="0"/>
        <w:jc w:val="left"/>
        <w:rPr/>
      </w:pPr>
      <w:r>
        <w:rPr/>
      </w:r>
    </w:p>
    <w:p>
      <w:pPr>
        <w:pStyle w:val="TextBody"/>
        <w:bidi w:val="0"/>
        <w:spacing w:before="0" w:after="0"/>
        <w:ind w:left="0" w:right="0" w:firstLine="1440"/>
        <w:jc w:val="left"/>
        <w:rPr>
          <w:color w:val="000000"/>
        </w:rPr>
      </w:pPr>
      <w:r>
        <w:rPr>
          <w:color w:val="000000"/>
        </w:rPr>
        <w:t>“</w:t>
      </w:r>
      <w:r>
        <w:rPr>
          <w:rFonts w:ascii="Times New Roman" w:hAnsi="Times New Roman"/>
          <w:color w:val="000000"/>
          <w:sz w:val="20"/>
          <w:u w:val="single"/>
        </w:rPr>
        <w:t>Contract</w:t>
      </w:r>
      <w:r>
        <w:rPr>
          <w:rFonts w:ascii="Times New Roman" w:hAnsi="Times New Roman"/>
          <w:color w:val="000000"/>
          <w:sz w:val="20"/>
        </w:rPr>
        <w:t>” means any loan or credit agreement, indenture, debenture, note, bond, mortgage, deed of trust, lease, sublease, license, contract or other agreement.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74</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1440"/>
        <w:jc w:val="left"/>
        <w:rPr>
          <w:color w:val="000000"/>
        </w:rPr>
      </w:pPr>
      <w:r>
        <w:rPr>
          <w:color w:val="000000"/>
        </w:rPr>
        <w:t>“</w:t>
      </w:r>
      <w:r>
        <w:rPr>
          <w:rFonts w:ascii="Times New Roman" w:hAnsi="Times New Roman"/>
          <w:color w:val="000000"/>
          <w:sz w:val="20"/>
          <w:u w:val="single"/>
        </w:rPr>
        <w:t>Corporate Practice Documents</w:t>
      </w:r>
      <w:r>
        <w:rPr>
          <w:rFonts w:ascii="Times New Roman" w:hAnsi="Times New Roman"/>
          <w:color w:val="000000"/>
          <w:sz w:val="20"/>
        </w:rPr>
        <w:t>” means (a) a management services agreement, administrative services agreement, business support services agreement, reciprocal provider agreement or network participation agreement between an Affiliated Professional Entity and the Company or any of its Subsidiaries, (b) medical director and physician liaison agreement or membership interest control agreement between an equityholder of the Affiliated Professional Entity and an Affiliated Professional Entity, (c) a line of credit agreement, deficit funding loan agreement, or substantially equivalent agreement permitting the Company or its Subsidiaries to lend funds to an Affiliated Professional Entity, (d) a Securities Transfer Restriction Agreement and (e) the governing and organizational documents of an Affiliated Professional Entity.</w:t>
      </w:r>
    </w:p>
    <w:p>
      <w:pPr>
        <w:pStyle w:val="TextBody"/>
        <w:bidi w:val="0"/>
        <w:spacing w:before="0" w:after="0"/>
        <w:jc w:val="left"/>
        <w:rPr/>
      </w:pPr>
      <w:r>
        <w:rPr/>
      </w:r>
    </w:p>
    <w:p>
      <w:pPr>
        <w:pStyle w:val="TextBody"/>
        <w:bidi w:val="0"/>
        <w:spacing w:before="0" w:after="0"/>
        <w:ind w:left="0" w:right="0" w:firstLine="1440"/>
        <w:jc w:val="left"/>
        <w:rPr>
          <w:color w:val="000000"/>
        </w:rPr>
      </w:pPr>
      <w:r>
        <w:rPr>
          <w:color w:val="000000"/>
        </w:rPr>
        <w:t>“</w:t>
      </w:r>
      <w:r>
        <w:rPr>
          <w:rFonts w:ascii="Times New Roman" w:hAnsi="Times New Roman"/>
          <w:color w:val="000000"/>
          <w:sz w:val="20"/>
          <w:u w:val="single"/>
        </w:rPr>
        <w:t>Controlled Group Liability</w:t>
      </w:r>
      <w:r>
        <w:rPr>
          <w:rFonts w:ascii="Times New Roman" w:hAnsi="Times New Roman"/>
          <w:color w:val="000000"/>
          <w:sz w:val="20"/>
        </w:rPr>
        <w:t xml:space="preserve">” means any and all liabilities (a) under Title IV of ERISA, (b) under Section 302 or 4068(a) of ERISA, (c) under Section 430(k) or 4971 of the Code and (d) for violation of the continuation coverage requirements of Sections 601 et seq. of ERISA and Section 4980B of the Code or the group health requirements of Sections 701 et seq. of ERISA and Sections 9801 et seq. of the Code, in the case of each of the foregoing </w:t>
      </w:r>
      <w:r>
        <w:rPr>
          <w:rFonts w:ascii="Times New Roman" w:hAnsi="Times New Roman"/>
          <w:color w:val="000000"/>
          <w:sz w:val="20"/>
          <w:u w:val="single"/>
        </w:rPr>
        <w:t>clauses (a)</w:t>
      </w:r>
      <w:r>
        <w:rPr>
          <w:rFonts w:ascii="Times New Roman" w:hAnsi="Times New Roman"/>
          <w:color w:val="000000"/>
          <w:sz w:val="20"/>
        </w:rPr>
        <w:t xml:space="preserve"> through </w:t>
      </w:r>
      <w:r>
        <w:rPr>
          <w:rFonts w:ascii="Times New Roman" w:hAnsi="Times New Roman"/>
          <w:color w:val="000000"/>
          <w:sz w:val="20"/>
          <w:u w:val="single"/>
        </w:rPr>
        <w:t>(d)</w:t>
      </w:r>
      <w:r>
        <w:rPr>
          <w:rFonts w:ascii="Times New Roman" w:hAnsi="Times New Roman"/>
          <w:color w:val="000000"/>
          <w:sz w:val="20"/>
        </w:rPr>
        <w:t>, with respect to the Company or any Commonly Controlled Entity.</w:t>
      </w:r>
    </w:p>
    <w:p>
      <w:pPr>
        <w:pStyle w:val="TextBody"/>
        <w:bidi w:val="0"/>
        <w:spacing w:before="0" w:after="0"/>
        <w:jc w:val="left"/>
        <w:rPr/>
      </w:pPr>
      <w:r>
        <w:rPr/>
      </w:r>
    </w:p>
    <w:p>
      <w:pPr>
        <w:pStyle w:val="TextBody"/>
        <w:bidi w:val="0"/>
        <w:spacing w:before="0" w:after="0"/>
        <w:ind w:left="0" w:right="0" w:firstLine="1440"/>
        <w:jc w:val="left"/>
        <w:rPr>
          <w:color w:val="000000"/>
        </w:rPr>
      </w:pPr>
      <w:r>
        <w:rPr>
          <w:color w:val="000000"/>
        </w:rPr>
        <w:t>“</w:t>
      </w:r>
      <w:r>
        <w:rPr>
          <w:rFonts w:ascii="Times New Roman" w:hAnsi="Times New Roman"/>
          <w:color w:val="000000"/>
          <w:sz w:val="20"/>
          <w:u w:val="single"/>
        </w:rPr>
        <w:t>Data Privacy Laws</w:t>
      </w:r>
      <w:r>
        <w:rPr>
          <w:rFonts w:ascii="Times New Roman" w:hAnsi="Times New Roman"/>
          <w:color w:val="000000"/>
          <w:sz w:val="20"/>
        </w:rPr>
        <w:t>” means any Law or industry self-regulatory program concerning the collection, use, analysis, retention, storage, protection, transfer, disclosure, disposal or Processing of Personal Information.</w:t>
      </w:r>
    </w:p>
    <w:p>
      <w:pPr>
        <w:pStyle w:val="TextBody"/>
        <w:bidi w:val="0"/>
        <w:spacing w:before="0" w:after="0"/>
        <w:jc w:val="left"/>
        <w:rPr/>
      </w:pPr>
      <w:r>
        <w:rPr/>
      </w:r>
    </w:p>
    <w:p>
      <w:pPr>
        <w:pStyle w:val="TextBody"/>
        <w:bidi w:val="0"/>
        <w:spacing w:before="0" w:after="0"/>
        <w:ind w:left="0" w:right="0" w:firstLine="1440"/>
        <w:jc w:val="left"/>
        <w:rPr>
          <w:color w:val="000000"/>
        </w:rPr>
      </w:pPr>
      <w:r>
        <w:rPr>
          <w:color w:val="000000"/>
        </w:rPr>
        <w:t>“</w:t>
      </w:r>
      <w:r>
        <w:rPr>
          <w:rFonts w:ascii="Times New Roman" w:hAnsi="Times New Roman"/>
          <w:color w:val="000000"/>
          <w:sz w:val="20"/>
          <w:u w:val="single"/>
        </w:rPr>
        <w:t>Encumbrance</w:t>
      </w:r>
      <w:r>
        <w:rPr>
          <w:rFonts w:ascii="Times New Roman" w:hAnsi="Times New Roman"/>
          <w:color w:val="000000"/>
          <w:sz w:val="20"/>
        </w:rPr>
        <w:t>” means any pledge, lien, charge, mortgage, deed of trust, security interest, lease, license, covenant, restriction, hypothecation, option to purchase or lease or otherwise acquire any interest, right of first refusal or offer, conditional sale or other title retention agreement, adverse claim of ownership or use, easement, encroachment, right-of-way or other title defect, third-party right or encumbrance of any kind or nature.</w:t>
      </w:r>
    </w:p>
    <w:p>
      <w:pPr>
        <w:pStyle w:val="TextBody"/>
        <w:bidi w:val="0"/>
        <w:spacing w:before="0" w:after="0"/>
        <w:jc w:val="left"/>
        <w:rPr/>
      </w:pPr>
      <w:r>
        <w:rPr/>
      </w:r>
    </w:p>
    <w:p>
      <w:pPr>
        <w:pStyle w:val="TextBody"/>
        <w:bidi w:val="0"/>
        <w:spacing w:before="0" w:after="0"/>
        <w:ind w:left="0" w:right="0" w:firstLine="1440"/>
        <w:jc w:val="left"/>
        <w:rPr>
          <w:color w:val="000000"/>
        </w:rPr>
      </w:pPr>
      <w:r>
        <w:rPr>
          <w:color w:val="000000"/>
        </w:rPr>
        <w:t>“</w:t>
      </w:r>
      <w:r>
        <w:rPr>
          <w:rFonts w:ascii="Times New Roman" w:hAnsi="Times New Roman"/>
          <w:color w:val="000000"/>
          <w:sz w:val="20"/>
          <w:u w:val="single"/>
        </w:rPr>
        <w:t>Equity Plans</w:t>
      </w:r>
      <w:r>
        <w:rPr>
          <w:rFonts w:ascii="Times New Roman" w:hAnsi="Times New Roman"/>
          <w:color w:val="000000"/>
          <w:sz w:val="20"/>
        </w:rPr>
        <w:t>” means the Company 2021 Incentive Award Plan and the 2014 Stock Incentive Plan of the Company, each as may be amended or amended and restated from time to time and including any subplan thereto.</w:t>
      </w:r>
    </w:p>
    <w:p>
      <w:pPr>
        <w:pStyle w:val="TextBody"/>
        <w:bidi w:val="0"/>
        <w:spacing w:before="0" w:after="0"/>
        <w:jc w:val="left"/>
        <w:rPr/>
      </w:pPr>
      <w:r>
        <w:rPr/>
      </w:r>
    </w:p>
    <w:p>
      <w:pPr>
        <w:pStyle w:val="TextBody"/>
        <w:bidi w:val="0"/>
        <w:spacing w:before="0" w:after="0"/>
        <w:ind w:left="0" w:right="0" w:firstLine="1440"/>
        <w:jc w:val="left"/>
        <w:rPr>
          <w:color w:val="000000"/>
        </w:rPr>
      </w:pPr>
      <w:r>
        <w:rPr>
          <w:color w:val="000000"/>
        </w:rPr>
        <w:t>“</w:t>
      </w:r>
      <w:r>
        <w:rPr>
          <w:rFonts w:ascii="Times New Roman" w:hAnsi="Times New Roman"/>
          <w:color w:val="000000"/>
          <w:sz w:val="20"/>
          <w:u w:val="single"/>
        </w:rPr>
        <w:t>Equity-Based Awards</w:t>
      </w:r>
      <w:r>
        <w:rPr>
          <w:rFonts w:ascii="Times New Roman" w:hAnsi="Times New Roman"/>
          <w:color w:val="000000"/>
          <w:sz w:val="20"/>
        </w:rPr>
        <w:t>” means, together, Company RSUs and Company Stock Options.</w:t>
      </w:r>
    </w:p>
    <w:p>
      <w:pPr>
        <w:pStyle w:val="TextBody"/>
        <w:bidi w:val="0"/>
        <w:spacing w:before="0" w:after="0"/>
        <w:jc w:val="left"/>
        <w:rPr/>
      </w:pPr>
      <w:r>
        <w:rPr/>
      </w:r>
    </w:p>
    <w:p>
      <w:pPr>
        <w:pStyle w:val="TextBody"/>
        <w:bidi w:val="0"/>
        <w:spacing w:before="0" w:after="0"/>
        <w:ind w:left="0" w:right="0" w:firstLine="1440"/>
        <w:jc w:val="left"/>
        <w:rPr>
          <w:color w:val="000000"/>
        </w:rPr>
      </w:pPr>
      <w:r>
        <w:rPr>
          <w:color w:val="000000"/>
        </w:rPr>
        <w:t>“</w:t>
      </w:r>
      <w:r>
        <w:rPr>
          <w:rFonts w:ascii="Times New Roman" w:hAnsi="Times New Roman"/>
          <w:color w:val="000000"/>
          <w:sz w:val="20"/>
          <w:u w:val="single"/>
        </w:rPr>
        <w:t>ERISA</w:t>
      </w:r>
      <w:r>
        <w:rPr>
          <w:rFonts w:ascii="Times New Roman" w:hAnsi="Times New Roman"/>
          <w:color w:val="000000"/>
          <w:sz w:val="20"/>
        </w:rPr>
        <w:t>” means the Employee Retirement Income Security Act of 1974.</w:t>
      </w:r>
    </w:p>
    <w:p>
      <w:pPr>
        <w:pStyle w:val="TextBody"/>
        <w:bidi w:val="0"/>
        <w:spacing w:before="0" w:after="0"/>
        <w:jc w:val="left"/>
        <w:rPr/>
      </w:pPr>
      <w:r>
        <w:rPr/>
      </w:r>
    </w:p>
    <w:p>
      <w:pPr>
        <w:pStyle w:val="TextBody"/>
        <w:bidi w:val="0"/>
        <w:spacing w:before="0" w:after="0"/>
        <w:ind w:left="0" w:right="0" w:firstLine="1440"/>
        <w:jc w:val="left"/>
        <w:rPr>
          <w:color w:val="000000"/>
        </w:rPr>
      </w:pPr>
      <w:r>
        <w:rPr>
          <w:color w:val="000000"/>
        </w:rPr>
        <w:t>“</w:t>
      </w:r>
      <w:r>
        <w:rPr>
          <w:rFonts w:ascii="Times New Roman" w:hAnsi="Times New Roman"/>
          <w:color w:val="000000"/>
          <w:sz w:val="20"/>
          <w:u w:val="single"/>
        </w:rPr>
        <w:t>Exchange Ratio</w:t>
      </w:r>
      <w:r>
        <w:rPr>
          <w:rFonts w:ascii="Times New Roman" w:hAnsi="Times New Roman"/>
          <w:color w:val="000000"/>
          <w:sz w:val="20"/>
        </w:rPr>
        <w:t>” means a fraction (a) the numerator of which is the closing price of Company Common Stock on Nasdaq (as reported by Bloomberg L.P. or, if not reported therein, in another authoritative source mutually selected by the parties) on the last day on which Company Common Stock is traded on Nasdaq that is immediately prior to the date of the Effective Time and (b) the denominator of which is the closing price of a Parent Class B Share on NYSE (as reported by Bloomberg L.P. or, if not reported therein, in another authoritative source mutually selected by the parties) on the last day on which Company Common Stock is traded on Nasdaq that is immediately prior to the date of the Effective Time.</w:t>
      </w:r>
    </w:p>
    <w:p>
      <w:pPr>
        <w:pStyle w:val="TextBody"/>
        <w:bidi w:val="0"/>
        <w:spacing w:before="0" w:after="0"/>
        <w:jc w:val="left"/>
        <w:rPr/>
      </w:pPr>
      <w:r>
        <w:rPr/>
      </w:r>
    </w:p>
    <w:p>
      <w:pPr>
        <w:pStyle w:val="TextBody"/>
        <w:bidi w:val="0"/>
        <w:spacing w:before="0" w:after="0"/>
        <w:ind w:left="0" w:right="0" w:firstLine="1440"/>
        <w:jc w:val="left"/>
        <w:rPr>
          <w:color w:val="000000"/>
        </w:rPr>
      </w:pPr>
      <w:r>
        <w:rPr>
          <w:color w:val="000000"/>
        </w:rPr>
        <w:t>“</w:t>
      </w:r>
      <w:r>
        <w:rPr>
          <w:rFonts w:ascii="Times New Roman" w:hAnsi="Times New Roman"/>
          <w:color w:val="000000"/>
          <w:sz w:val="20"/>
          <w:u w:val="single"/>
        </w:rPr>
        <w:t>Federal Health Care Program</w:t>
      </w:r>
      <w:r>
        <w:rPr>
          <w:rFonts w:ascii="Times New Roman" w:hAnsi="Times New Roman"/>
          <w:color w:val="000000"/>
          <w:sz w:val="20"/>
        </w:rPr>
        <w:t>” means any “</w:t>
      </w:r>
      <w:r>
        <w:rPr>
          <w:rFonts w:ascii="Times New Roman" w:hAnsi="Times New Roman"/>
          <w:i/>
          <w:color w:val="000000"/>
          <w:sz w:val="20"/>
        </w:rPr>
        <w:t>federal health care program</w:t>
      </w:r>
      <w:r>
        <w:rPr>
          <w:rFonts w:ascii="Times New Roman" w:hAnsi="Times New Roman"/>
          <w:color w:val="000000"/>
          <w:sz w:val="20"/>
        </w:rPr>
        <w:t>” as defined in 42 U.S.C. § 1320a-7b(f), including Medicare, state Medicaid programs, state CHIP programs, TRICARE and similar or successor programs with or for the benefit of any Governmental Authority.</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75</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1440"/>
        <w:jc w:val="left"/>
        <w:rPr>
          <w:color w:val="000000"/>
        </w:rPr>
      </w:pPr>
      <w:r>
        <w:rPr>
          <w:color w:val="000000"/>
        </w:rPr>
        <w:t>“</w:t>
      </w:r>
      <w:r>
        <w:rPr>
          <w:rFonts w:ascii="Times New Roman" w:hAnsi="Times New Roman"/>
          <w:color w:val="000000"/>
          <w:sz w:val="20"/>
          <w:u w:val="single"/>
        </w:rPr>
        <w:t>Fraud</w:t>
      </w:r>
      <w:r>
        <w:rPr>
          <w:rFonts w:ascii="Times New Roman" w:hAnsi="Times New Roman"/>
          <w:color w:val="000000"/>
          <w:sz w:val="20"/>
        </w:rPr>
        <w:t xml:space="preserve">” means the actual, knowing and intentional fraud under the laws of the State of Delaware by any party hereto in connection with the representations and warranties set forth in </w:t>
      </w:r>
      <w:r>
        <w:rPr>
          <w:rFonts w:ascii="Times New Roman" w:hAnsi="Times New Roman"/>
          <w:color w:val="000000"/>
          <w:sz w:val="20"/>
          <w:u w:val="single"/>
        </w:rPr>
        <w:t>Article III</w:t>
      </w:r>
      <w:r>
        <w:rPr>
          <w:rFonts w:ascii="Times New Roman" w:hAnsi="Times New Roman"/>
          <w:color w:val="000000"/>
          <w:sz w:val="20"/>
        </w:rPr>
        <w:t xml:space="preserve"> and </w:t>
      </w:r>
      <w:r>
        <w:rPr>
          <w:rFonts w:ascii="Times New Roman" w:hAnsi="Times New Roman"/>
          <w:color w:val="000000"/>
          <w:sz w:val="20"/>
          <w:u w:val="single"/>
        </w:rPr>
        <w:t>Article IV</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left"/>
        <w:rPr>
          <w:color w:val="000000"/>
        </w:rPr>
      </w:pPr>
      <w:r>
        <w:rPr>
          <w:color w:val="000000"/>
        </w:rPr>
        <w:t>“</w:t>
      </w:r>
      <w:r>
        <w:rPr>
          <w:rFonts w:ascii="Times New Roman" w:hAnsi="Times New Roman"/>
          <w:color w:val="000000"/>
          <w:sz w:val="20"/>
          <w:u w:val="single"/>
        </w:rPr>
        <w:t>GAAP</w:t>
      </w:r>
      <w:r>
        <w:rPr>
          <w:rFonts w:ascii="Times New Roman" w:hAnsi="Times New Roman"/>
          <w:color w:val="000000"/>
          <w:sz w:val="20"/>
        </w:rPr>
        <w:t>” means generally accepted accounting principles in the U.S., consistently applied.</w:t>
      </w:r>
    </w:p>
    <w:p>
      <w:pPr>
        <w:pStyle w:val="TextBody"/>
        <w:bidi w:val="0"/>
        <w:spacing w:before="0" w:after="0"/>
        <w:jc w:val="left"/>
        <w:rPr/>
      </w:pPr>
      <w:r>
        <w:rPr/>
      </w:r>
    </w:p>
    <w:p>
      <w:pPr>
        <w:pStyle w:val="TextBody"/>
        <w:bidi w:val="0"/>
        <w:spacing w:before="0" w:after="0"/>
        <w:ind w:left="0" w:right="0" w:firstLine="1440"/>
        <w:jc w:val="left"/>
        <w:rPr>
          <w:color w:val="000000"/>
        </w:rPr>
      </w:pPr>
      <w:r>
        <w:rPr>
          <w:color w:val="000000"/>
        </w:rPr>
        <w:t>“</w:t>
      </w:r>
      <w:r>
        <w:rPr>
          <w:rFonts w:ascii="Times New Roman" w:hAnsi="Times New Roman"/>
          <w:color w:val="000000"/>
          <w:sz w:val="20"/>
          <w:u w:val="single"/>
        </w:rPr>
        <w:t>Governmental Authority</w:t>
      </w:r>
      <w:r>
        <w:rPr>
          <w:rFonts w:ascii="Times New Roman" w:hAnsi="Times New Roman"/>
          <w:color w:val="000000"/>
          <w:sz w:val="20"/>
        </w:rPr>
        <w:t>” means any government, governmental bureau, governmental board, governmental department, court, regulatory or administrative agency or body, commission or authority or other legislative, executive or judicial governmental entity or tribunal (in each case including any self-regulatory organization), whether federal, state or local, domestic, foreign or multinational or any arbitrational tribunal.</w:t>
      </w:r>
    </w:p>
    <w:p>
      <w:pPr>
        <w:pStyle w:val="TextBody"/>
        <w:bidi w:val="0"/>
        <w:spacing w:before="0" w:after="0"/>
        <w:jc w:val="left"/>
        <w:rPr/>
      </w:pPr>
      <w:r>
        <w:rPr/>
      </w:r>
    </w:p>
    <w:p>
      <w:pPr>
        <w:pStyle w:val="TextBody"/>
        <w:bidi w:val="0"/>
        <w:spacing w:before="0" w:after="0"/>
        <w:ind w:left="0" w:right="0" w:firstLine="1440"/>
        <w:jc w:val="left"/>
        <w:rPr>
          <w:color w:val="000000"/>
        </w:rPr>
      </w:pPr>
      <w:r>
        <w:rPr>
          <w:color w:val="000000"/>
        </w:rPr>
        <w:t>“</w:t>
      </w:r>
      <w:r>
        <w:rPr>
          <w:rFonts w:ascii="Times New Roman" w:hAnsi="Times New Roman"/>
          <w:color w:val="000000"/>
          <w:sz w:val="20"/>
          <w:u w:val="single"/>
        </w:rPr>
        <w:t>Healthcare Laws</w:t>
      </w:r>
      <w:r>
        <w:rPr>
          <w:rFonts w:ascii="Times New Roman" w:hAnsi="Times New Roman"/>
          <w:color w:val="000000"/>
          <w:sz w:val="20"/>
        </w:rPr>
        <w:t>” means all Laws pertaining to the regulation of healthcare, entities that provide items or services directly or indirectly to, for, or on behalf of healthcare providers and suppliers or the payment or reimbursement for items or services rendered, provided, dispensed or furnished by healthcare providers or suppliers, including: (a) the federal Anti-Kickback Statute (42 U.S.C. § 1320a-7b), the Civil Monetary Penalties Law (42 U.S.C. § 1320a-7a), the Exclusions Law (42 U.S.C. § 1320a-7), the Physician Self-Referral Law, commonly known as the “Stark Law” (42 U.S.C. §§ 1395nn and 1396b), the civil False Claims Act (31 U.S.C. § 3729 et seq.), the Federal Criminal False Claims Act (18 U.S.C. §§ 287 and 1001), the Federal Program Fraud Civil Remedies Act (31 U.S.C. §§ 3801 et seq.), the False Statements Relating to Health Care Matters Law (18 U.S.C. § 1035), the Health Care Fraud Law (18 U.S.C. § 1347) and any regulations promulgated pursuant to such statutes, (b) Medicare (Title XVIII of the Social Security Act) and the regulations promulgated thereunder, (c) TRICARE (10 U.S.C. § 1071 et seq.) and the regulations promulgated thereunder, (d) HIPAA and state health privacy, medical records, and medical information Laws, (e) the Patient Protection and Affordable Care Act (Pub. L. 111-148), as amended by the Health Care Education and Reconciliation Act (Pub. L. 111-152), and the regulations promulgated thereunder, (f) quality and safety Laws relating to the regulation, provision or administration of, or payment for, healthcare items or services, (g) licensure Laws relating to the regulation, provision or administration of, or payment for, healthcare items or services, (h) any Laws and regulations of a Third-Party Payor Program, (i) all applicable Laws relating to the coding or provision of, or billing or payment for, healthcare items or services or relating to healthcare information, (j) all applicable state and local Laws regulating fee splitting, licensing, reimbursement, kickbacks, claim processing, corporate practice of medicine, psychology, therapy, telehealth services and medical record documentation requirements and (k) any analogous Laws imposed by any state or local jurisdiction, including any similar state or local fraud and abuse Laws governing the offer, payment, solicitation or receipt of any remuneration in exchange for a referral, furnishing, arranging for the furnishing, lease, purchase, order, or recommendation of any healthcare product or service.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76</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1440"/>
        <w:jc w:val="left"/>
        <w:rPr>
          <w:color w:val="000000"/>
        </w:rPr>
      </w:pPr>
      <w:r>
        <w:rPr>
          <w:color w:val="000000"/>
        </w:rPr>
        <w:t>“</w:t>
      </w:r>
      <w:r>
        <w:rPr>
          <w:rFonts w:ascii="Times New Roman" w:hAnsi="Times New Roman"/>
          <w:color w:val="000000"/>
          <w:sz w:val="20"/>
          <w:u w:val="single"/>
        </w:rPr>
        <w:t>HIPAA</w:t>
      </w:r>
      <w:r>
        <w:rPr>
          <w:rFonts w:ascii="Times New Roman" w:hAnsi="Times New Roman"/>
          <w:color w:val="000000"/>
          <w:sz w:val="20"/>
        </w:rPr>
        <w:t>” means the Health Insurance Portability and Accountability Act of 1996, as amended by the Health Information Technology for Economic and Clinical Health (HITECH) Act, together with all implementing regulations thereof.</w:t>
      </w:r>
    </w:p>
    <w:p>
      <w:pPr>
        <w:pStyle w:val="TextBody"/>
        <w:bidi w:val="0"/>
        <w:spacing w:before="0" w:after="0"/>
        <w:jc w:val="left"/>
        <w:rPr/>
      </w:pPr>
      <w:r>
        <w:rPr/>
      </w:r>
    </w:p>
    <w:p>
      <w:pPr>
        <w:pStyle w:val="TextBody"/>
        <w:bidi w:val="0"/>
        <w:spacing w:before="0" w:after="0"/>
        <w:ind w:left="0" w:right="0" w:firstLine="1440"/>
        <w:jc w:val="left"/>
        <w:rPr>
          <w:color w:val="000000"/>
        </w:rPr>
      </w:pPr>
      <w:r>
        <w:rPr>
          <w:color w:val="000000"/>
        </w:rPr>
        <w:t>“</w:t>
      </w:r>
      <w:r>
        <w:rPr>
          <w:rFonts w:ascii="Times New Roman" w:hAnsi="Times New Roman"/>
          <w:color w:val="000000"/>
          <w:sz w:val="20"/>
          <w:u w:val="single"/>
        </w:rPr>
        <w:t>HSR Act</w:t>
      </w:r>
      <w:r>
        <w:rPr>
          <w:rFonts w:ascii="Times New Roman" w:hAnsi="Times New Roman"/>
          <w:color w:val="000000"/>
          <w:sz w:val="20"/>
        </w:rPr>
        <w:t>” means the Hart-Scott-Rodino Antitrust Improvements Act of 1976 and the rules and regulations promulgated thereunder.</w:t>
      </w:r>
    </w:p>
    <w:p>
      <w:pPr>
        <w:pStyle w:val="TextBody"/>
        <w:bidi w:val="0"/>
        <w:spacing w:before="0" w:after="0"/>
        <w:jc w:val="left"/>
        <w:rPr/>
      </w:pPr>
      <w:r>
        <w:rPr/>
      </w:r>
    </w:p>
    <w:p>
      <w:pPr>
        <w:pStyle w:val="TextBody"/>
        <w:bidi w:val="0"/>
        <w:spacing w:before="0" w:after="0"/>
        <w:ind w:left="0" w:right="0" w:firstLine="1440"/>
        <w:jc w:val="left"/>
        <w:rPr>
          <w:color w:val="000000"/>
        </w:rPr>
      </w:pPr>
      <w:r>
        <w:rPr>
          <w:color w:val="000000"/>
        </w:rPr>
        <w:t>“</w:t>
      </w:r>
      <w:r>
        <w:rPr>
          <w:rFonts w:ascii="Times New Roman" w:hAnsi="Times New Roman"/>
          <w:color w:val="000000"/>
          <w:sz w:val="20"/>
          <w:u w:val="single"/>
        </w:rPr>
        <w:t>Intellectual Property</w:t>
      </w:r>
      <w:r>
        <w:rPr>
          <w:rFonts w:ascii="Times New Roman" w:hAnsi="Times New Roman"/>
          <w:color w:val="000000"/>
          <w:sz w:val="20"/>
        </w:rPr>
        <w:t>” means all of the following, in each case in any jurisdiction throughout the world: (a) any patent, patent application or patent disclosure, together with all extensions, adjustments, renewals, divisions, continuations, continuations-in-part, reissues and re-examinations thereof; (b) any trademark, service mark, trade dress, logo, trade name or any other indicia of source or origin, together with the goodwill associated with any of the foregoing, and any application, registration or renewal thereof (collectively, the “</w:t>
      </w:r>
      <w:r>
        <w:rPr>
          <w:rFonts w:ascii="Times New Roman" w:hAnsi="Times New Roman"/>
          <w:color w:val="000000"/>
          <w:sz w:val="20"/>
          <w:u w:val="single"/>
        </w:rPr>
        <w:t>Trademarks</w:t>
      </w:r>
      <w:r>
        <w:rPr>
          <w:rFonts w:ascii="Times New Roman" w:hAnsi="Times New Roman"/>
          <w:color w:val="000000"/>
          <w:sz w:val="20"/>
        </w:rPr>
        <w:t>”); (c) any works of authorship whether or not copyrightable and other copyrightable works (including copyrights in Software, databases, website content, and promotional materials) whether or not registered or sought to be registered and whether or not published, and any application, registration or renewal thereof, together with all translations, adaptations, derivations, and combinations thereof, and all moral rights and all other rights associated therewith; (d) any internet domain name; (e) any trade secrets, confidential know-how or other confidential and proprietary information (including ideas, research and development, know-how, invention (whether patentable or unpatentable and whether or not reduced to practice) or invention disclosure, processes and techniques, technical data and information, customer and supplier lists, pricing and cost information, and business and marketing plans and proposals), and all other information that derives economic value from not being generally known (collectively, the “</w:t>
      </w:r>
      <w:r>
        <w:rPr>
          <w:rFonts w:ascii="Times New Roman" w:hAnsi="Times New Roman"/>
          <w:color w:val="000000"/>
          <w:sz w:val="20"/>
          <w:u w:val="single"/>
        </w:rPr>
        <w:t>Proprietary Information</w:t>
      </w:r>
      <w:r>
        <w:rPr>
          <w:rFonts w:ascii="Times New Roman" w:hAnsi="Times New Roman"/>
          <w:color w:val="000000"/>
          <w:sz w:val="20"/>
        </w:rPr>
        <w:t>”); (f) any social media accounts, identifiers and designations; (g) any Software; (h) any other material proprietary rights; and (i) any claims or causes of action arising out of or related to any infringement, misappropriation or other violation of any of the foregoing.</w:t>
      </w:r>
    </w:p>
    <w:p>
      <w:pPr>
        <w:pStyle w:val="TextBody"/>
        <w:bidi w:val="0"/>
        <w:spacing w:before="0" w:after="0"/>
        <w:jc w:val="left"/>
        <w:rPr/>
      </w:pPr>
      <w:r>
        <w:rPr/>
      </w:r>
    </w:p>
    <w:p>
      <w:pPr>
        <w:pStyle w:val="TextBody"/>
        <w:bidi w:val="0"/>
        <w:spacing w:before="0" w:after="0"/>
        <w:ind w:left="0" w:right="0" w:firstLine="1440"/>
        <w:jc w:val="left"/>
        <w:rPr>
          <w:color w:val="000000"/>
        </w:rPr>
      </w:pPr>
      <w:r>
        <w:rPr>
          <w:color w:val="000000"/>
        </w:rPr>
        <w:t>“</w:t>
      </w:r>
      <w:r>
        <w:rPr>
          <w:rFonts w:ascii="Times New Roman" w:hAnsi="Times New Roman"/>
          <w:color w:val="000000"/>
          <w:sz w:val="20"/>
          <w:u w:val="single"/>
        </w:rPr>
        <w:t>Intervening Event</w:t>
      </w:r>
      <w:r>
        <w:rPr>
          <w:rFonts w:ascii="Times New Roman" w:hAnsi="Times New Roman"/>
          <w:color w:val="000000"/>
          <w:sz w:val="20"/>
        </w:rPr>
        <w:t xml:space="preserve">” means any state of facts, event, change, development, condition, occurrence or circumstances not known (or if known, the magnitude or material consequences of which were unknown and not reasonably foreseeable) by the Board of Directors of the Company as of the date of this Agreement, but which state of facts, event, change, development, condition, occurrence or circumstances (or consequences thereof) becomes known to the Board of Directors of the Company after the date of this Agreement and prior to receipt of the Company Stockholder Approval;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in no event shall any of the following constitute an Intervening Event: (a) a Takeover Proposal or the receipt, existence or terms thereof; (b) changes in the trading price or trading volume of the Company Common Stock, in and of itself (it being understood that the underlying causes, facts or occurrences giving rise or contributing to such changes may be taken into account whether an Intervening Event has occurred); (c) the Company or any of its Subsidiaries meeting or exceeding any published analyst estimates or expectations of the Company’s and its Subsidiaries’ revenue, earnings or other financial performance or results of operations for any period, in and of itself, or exceeding the Company’s and its Subsidiaries’ internal or external budgets, plans or forecasts of revenues, earnings or other financial performance or results of operations, in and of itself (it being understood that the underlying causes, facts or occurrences giving rise or contributing to the Company and its Subsidiaries meeting or exceeding such estimates, projections, budgets, plans or forecasts may be taken into account whether an Intervening Event has occurred); (d) any effect attributable to the negotiation, execution or announcement of this Agreement, the Merger and the Transactions; or (e) any effect resulting from or arising out of a breach of this Agreement by the Company.</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77</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1440"/>
        <w:jc w:val="left"/>
        <w:rPr>
          <w:color w:val="000000"/>
        </w:rPr>
      </w:pPr>
      <w:r>
        <w:rPr>
          <w:color w:val="000000"/>
        </w:rPr>
        <w:t>“</w:t>
      </w:r>
      <w:r>
        <w:rPr>
          <w:rFonts w:ascii="Times New Roman" w:hAnsi="Times New Roman"/>
          <w:color w:val="000000"/>
          <w:sz w:val="20"/>
          <w:u w:val="single"/>
        </w:rPr>
        <w:t>IRS</w:t>
      </w:r>
      <w:r>
        <w:rPr>
          <w:rFonts w:ascii="Times New Roman" w:hAnsi="Times New Roman"/>
          <w:color w:val="000000"/>
          <w:sz w:val="20"/>
        </w:rPr>
        <w:t>” means the Internal Revenue Service.</w:t>
      </w:r>
    </w:p>
    <w:p>
      <w:pPr>
        <w:pStyle w:val="TextBody"/>
        <w:bidi w:val="0"/>
        <w:spacing w:before="0" w:after="0"/>
        <w:jc w:val="left"/>
        <w:rPr/>
      </w:pPr>
      <w:r>
        <w:rPr/>
      </w:r>
    </w:p>
    <w:p>
      <w:pPr>
        <w:pStyle w:val="TextBody"/>
        <w:bidi w:val="0"/>
        <w:spacing w:before="0" w:after="0"/>
        <w:ind w:left="0" w:right="0" w:firstLine="1440"/>
        <w:jc w:val="left"/>
        <w:rPr>
          <w:color w:val="000000"/>
        </w:rPr>
      </w:pPr>
      <w:r>
        <w:rPr>
          <w:color w:val="000000"/>
        </w:rPr>
        <w:t>“</w:t>
      </w:r>
      <w:r>
        <w:rPr>
          <w:rFonts w:ascii="Times New Roman" w:hAnsi="Times New Roman"/>
          <w:color w:val="000000"/>
          <w:sz w:val="20"/>
          <w:u w:val="single"/>
        </w:rPr>
        <w:t>Knowledge</w:t>
      </w:r>
      <w:r>
        <w:rPr>
          <w:rFonts w:ascii="Times New Roman" w:hAnsi="Times New Roman"/>
          <w:color w:val="000000"/>
          <w:sz w:val="20"/>
        </w:rPr>
        <w:t>” means (a) with respect to the Company, the actual knowledge of the individuals listed on Section 8.12(a) of the Company Disclosure Letter after due inquiry and (b) with respect to Parent or Merger Sub, the actual knowledge of any of the appointed officers or directors of Parent or Merger Sub after due inquiry.</w:t>
      </w:r>
    </w:p>
    <w:p>
      <w:pPr>
        <w:pStyle w:val="TextBody"/>
        <w:bidi w:val="0"/>
        <w:spacing w:before="0" w:after="0"/>
        <w:jc w:val="left"/>
        <w:rPr/>
      </w:pPr>
      <w:r>
        <w:rPr/>
      </w:r>
    </w:p>
    <w:p>
      <w:pPr>
        <w:pStyle w:val="TextBody"/>
        <w:bidi w:val="0"/>
        <w:spacing w:before="0" w:after="0"/>
        <w:ind w:left="0" w:right="0" w:firstLine="1440"/>
        <w:jc w:val="left"/>
        <w:rPr>
          <w:color w:val="000000"/>
        </w:rPr>
      </w:pPr>
      <w:r>
        <w:rPr>
          <w:color w:val="000000"/>
        </w:rPr>
        <w:t>“</w:t>
      </w:r>
      <w:r>
        <w:rPr>
          <w:rFonts w:ascii="Times New Roman" w:hAnsi="Times New Roman"/>
          <w:color w:val="000000"/>
          <w:sz w:val="20"/>
          <w:u w:val="single"/>
        </w:rPr>
        <w:t>Leased Real Property</w:t>
      </w:r>
      <w:r>
        <w:rPr>
          <w:rFonts w:ascii="Times New Roman" w:hAnsi="Times New Roman"/>
          <w:color w:val="000000"/>
          <w:sz w:val="20"/>
        </w:rPr>
        <w:t>” means any real property that is leased, subleased, licensed or otherwise occupied by the Company or any of its Subsidiaries or any of the Affiliated Professional Entities (in each case whether as tenant, subtenant, licensee or occupant).</w:t>
      </w:r>
    </w:p>
    <w:p>
      <w:pPr>
        <w:pStyle w:val="TextBody"/>
        <w:bidi w:val="0"/>
        <w:spacing w:before="0" w:after="0"/>
        <w:jc w:val="left"/>
        <w:rPr/>
      </w:pPr>
      <w:r>
        <w:rPr/>
      </w:r>
    </w:p>
    <w:p>
      <w:pPr>
        <w:pStyle w:val="TextBody"/>
        <w:bidi w:val="0"/>
        <w:spacing w:before="0" w:after="0"/>
        <w:ind w:left="0" w:right="0" w:firstLine="1440"/>
        <w:jc w:val="left"/>
        <w:rPr>
          <w:color w:val="000000"/>
        </w:rPr>
      </w:pPr>
      <w:r>
        <w:rPr>
          <w:color w:val="000000"/>
        </w:rPr>
        <w:t>“</w:t>
      </w:r>
      <w:r>
        <w:rPr>
          <w:rFonts w:ascii="Times New Roman" w:hAnsi="Times New Roman"/>
          <w:color w:val="000000"/>
          <w:sz w:val="20"/>
          <w:u w:val="single"/>
        </w:rPr>
        <w:t>Material Adverse Effect</w:t>
      </w:r>
      <w:r>
        <w:rPr>
          <w:rFonts w:ascii="Times New Roman" w:hAnsi="Times New Roman"/>
          <w:color w:val="000000"/>
          <w:sz w:val="20"/>
        </w:rPr>
        <w:t xml:space="preserve">” means any state of facts, condition, development, effect, change, event, circumstance or occurrence that, individually or in the aggregate, (a) has, or would be reasonably expected to have, a material adverse effect on the business, results of operations or financial condition of the Company, its Subsidiaries and the Affiliated Professional Entities taken as a whole or (b) prevents, materially impairs or materially delays the consummation by the Company of the Transactions;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solely with respect to </w:t>
      </w:r>
      <w:r>
        <w:rPr>
          <w:rFonts w:ascii="Times New Roman" w:hAnsi="Times New Roman"/>
          <w:color w:val="000000"/>
          <w:sz w:val="20"/>
          <w:u w:val="single"/>
        </w:rPr>
        <w:t>clause (a)</w:t>
      </w:r>
      <w:r>
        <w:rPr>
          <w:rFonts w:ascii="Times New Roman" w:hAnsi="Times New Roman"/>
          <w:color w:val="000000"/>
          <w:sz w:val="20"/>
        </w:rPr>
        <w:t xml:space="preserve">, none of the following, and no state of facts, condition, development, effect, change, event, circumstance or occurrence arising out of or resulting from the following, shall constitute or be taken into account in determining whether a Material Adverse Effect has occurred, is continuing or would reasonably be expected to occur:  any state of facts, condition, development, effect, change, event, circumstance or occurrence (A) generally affecting the industry in which the Company and its Subsidiaries operate or the economy, credit or financial or capital markets, in the U.S. or elsewhere in the world, including changes in interest or exchange rates, monetary policy or inflation, or (B) to the extent arising out of, resulting from or attributable to (1) changes or prospective changes in applicable Law or in GAAP or in accounting standards, or any changes or prospective changes in the interpretation or enforcement of any of the foregoing, or any changes or prospective changes in the general legal, regulatory, political or social conditions, in each case arising after the date of this Agreement, (2) the negotiation, execution, announcement or performance of this Agreement or the consummation of the Transactions (other than for purposes of any representation or warranty contained in </w:t>
      </w:r>
      <w:r>
        <w:rPr>
          <w:rFonts w:ascii="Times New Roman" w:hAnsi="Times New Roman"/>
          <w:color w:val="000000"/>
          <w:sz w:val="20"/>
          <w:u w:val="single"/>
        </w:rPr>
        <w:t>Sections 3.03(d)</w:t>
      </w:r>
      <w:r>
        <w:rPr>
          <w:rFonts w:ascii="Times New Roman" w:hAnsi="Times New Roman"/>
          <w:color w:val="000000"/>
          <w:sz w:val="20"/>
        </w:rPr>
        <w:t xml:space="preserve"> and </w:t>
      </w:r>
      <w:r>
        <w:rPr>
          <w:rFonts w:ascii="Times New Roman" w:hAnsi="Times New Roman"/>
          <w:color w:val="000000"/>
          <w:sz w:val="20"/>
          <w:u w:val="single"/>
        </w:rPr>
        <w:t>3.04</w:t>
      </w:r>
      <w:r>
        <w:rPr>
          <w:rFonts w:ascii="Times New Roman" w:hAnsi="Times New Roman"/>
          <w:color w:val="000000"/>
          <w:sz w:val="20"/>
        </w:rPr>
        <w:t xml:space="preserve">), including the impact thereof on relationships, contractual or otherwise, with customers, payors, suppliers, distributors, partners, employees or regulators, or any litigation arising from allegations of breach of fiduciary duty or violation of Law relating to this Agreement or the Transactions, (3) acts of war (whether or not declared), military activity, sabotage, cyberattacks (other than those directly targeted at the Company, any of its Subsidiaries or any of the Affiliated Professional Entities), civil disobedience, government shutdown, government slowdown or terrorism, or any escalation or worsening of any such acts of war (whether or not declared), military activity, sabotage, cyberattacks (other than those directly targeted at the Company, any of its Subsidiaries or any of the Affiliated Professional Entities), civil disobedience, government shutdown, government slowdown or terrorism, (4) earthquakes, fires, floods, hurricanes, tornados or other natural disasters, weather-related events, casualty events, force majeure events or other comparable events, (5) any action taken by the Company or its Subsidiaries that is required by this Agreement or that is taken with Parent’s written consent or at Parent’s written request, or the failure to take any action by the Company or its Subsidiaries if that action is prohibited by this Agreement (provided that this clause (5) shall not apply to any action omitted to be taken pursuant to </w:t>
      </w:r>
      <w:r>
        <w:rPr>
          <w:rFonts w:ascii="Times New Roman" w:hAnsi="Times New Roman"/>
          <w:color w:val="000000"/>
          <w:sz w:val="20"/>
          <w:u w:val="single"/>
        </w:rPr>
        <w:t>Section 5.01</w:t>
      </w:r>
      <w:r>
        <w:rPr>
          <w:rFonts w:ascii="Times New Roman" w:hAnsi="Times New Roman"/>
          <w:color w:val="000000"/>
          <w:sz w:val="20"/>
        </w:rPr>
        <w:t xml:space="preserve"> unless the Company has requested to take an action that is prohibited by </w:t>
      </w:r>
      <w:r>
        <w:rPr>
          <w:rFonts w:ascii="Times New Roman" w:hAnsi="Times New Roman"/>
          <w:color w:val="000000"/>
          <w:sz w:val="20"/>
          <w:u w:val="single"/>
        </w:rPr>
        <w:t>Section 5.01</w:t>
      </w:r>
      <w:r>
        <w:rPr>
          <w:rFonts w:ascii="Times New Roman" w:hAnsi="Times New Roman"/>
          <w:color w:val="000000"/>
          <w:sz w:val="20"/>
        </w:rPr>
        <w:t xml:space="preserve"> and Parent has unreasonably withheld, delayed or conditioned its written consent to such action), (6) any change or prospective change in reimbursement rates or any change or prospective change to eligibility requirements, in each case, imposed by any Governmental Authority or Third-Party Payor Program, (7) any change in the Company’s credit ratings, (8) any decline in the market price, or change in trading volume, of the shares of the Company, (9) any failure to meet any internal or public projections, forecasts, guidance, estimates, milestones, budgets or internal or published financial or operating predictions of revenue, earnings, cash flow or cash position (it being understood that the exceptions in </w:t>
      </w:r>
      <w:r>
        <w:rPr>
          <w:rFonts w:ascii="Times New Roman" w:hAnsi="Times New Roman"/>
          <w:color w:val="000000"/>
          <w:sz w:val="20"/>
          <w:u w:val="single"/>
        </w:rPr>
        <w:t>clauses (7)</w:t>
      </w:r>
      <w:r>
        <w:rPr>
          <w:rFonts w:ascii="Times New Roman" w:hAnsi="Times New Roman"/>
          <w:color w:val="000000"/>
          <w:sz w:val="20"/>
        </w:rPr>
        <w:t xml:space="preserve">, </w:t>
      </w:r>
      <w:r>
        <w:rPr>
          <w:rFonts w:ascii="Times New Roman" w:hAnsi="Times New Roman"/>
          <w:color w:val="000000"/>
          <w:sz w:val="20"/>
          <w:u w:val="single"/>
        </w:rPr>
        <w:t>(8)</w:t>
      </w:r>
      <w:r>
        <w:rPr>
          <w:rFonts w:ascii="Times New Roman" w:hAnsi="Times New Roman"/>
          <w:color w:val="000000"/>
          <w:sz w:val="20"/>
        </w:rPr>
        <w:t xml:space="preserve"> and </w:t>
      </w:r>
      <w:r>
        <w:rPr>
          <w:rFonts w:ascii="Times New Roman" w:hAnsi="Times New Roman"/>
          <w:color w:val="000000"/>
          <w:sz w:val="20"/>
          <w:u w:val="single"/>
        </w:rPr>
        <w:t>(9)</w:t>
      </w:r>
      <w:r>
        <w:rPr>
          <w:rFonts w:ascii="Times New Roman" w:hAnsi="Times New Roman"/>
          <w:color w:val="000000"/>
          <w:sz w:val="20"/>
        </w:rPr>
        <w:t xml:space="preserve"> shall not prevent or otherwise affect a determination that the underlying cause of any such change, decline or failure referred to therein (if not otherwise falling within any of the exceptions provided by </w:t>
      </w:r>
      <w:r>
        <w:rPr>
          <w:rFonts w:ascii="Times New Roman" w:hAnsi="Times New Roman"/>
          <w:color w:val="000000"/>
          <w:sz w:val="20"/>
          <w:u w:val="single"/>
        </w:rPr>
        <w:t>clause (A)</w:t>
      </w:r>
      <w:r>
        <w:rPr>
          <w:rFonts w:ascii="Times New Roman" w:hAnsi="Times New Roman"/>
          <w:color w:val="000000"/>
          <w:sz w:val="20"/>
        </w:rPr>
        <w:t xml:space="preserve"> and </w:t>
      </w:r>
      <w:r>
        <w:rPr>
          <w:rFonts w:ascii="Times New Roman" w:hAnsi="Times New Roman"/>
          <w:color w:val="000000"/>
          <w:sz w:val="20"/>
          <w:u w:val="single"/>
        </w:rPr>
        <w:t>clauses (B)(1)</w:t>
      </w:r>
      <w:r>
        <w:rPr>
          <w:rFonts w:ascii="Times New Roman" w:hAnsi="Times New Roman"/>
          <w:color w:val="000000"/>
          <w:sz w:val="20"/>
        </w:rPr>
        <w:t xml:space="preserve"> through </w:t>
      </w:r>
      <w:r>
        <w:rPr>
          <w:rFonts w:ascii="Times New Roman" w:hAnsi="Times New Roman"/>
          <w:color w:val="000000"/>
          <w:sz w:val="20"/>
          <w:u w:val="single"/>
        </w:rPr>
        <w:t>(10)</w:t>
      </w:r>
      <w:r>
        <w:rPr>
          <w:rFonts w:ascii="Times New Roman" w:hAnsi="Times New Roman"/>
          <w:color w:val="000000"/>
          <w:sz w:val="20"/>
        </w:rPr>
        <w:t xml:space="preserve">) is a Material Adverse Effect) or (10) changes in funding policies of or spending by any Governmental Authority;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any state of facts, condition, development, effect, change, event, circumstance or occurrence referred to in </w:t>
      </w:r>
      <w:r>
        <w:rPr>
          <w:rFonts w:ascii="Times New Roman" w:hAnsi="Times New Roman"/>
          <w:color w:val="000000"/>
          <w:sz w:val="20"/>
          <w:u w:val="single"/>
        </w:rPr>
        <w:t>clause (A)</w:t>
      </w:r>
      <w:r>
        <w:rPr>
          <w:rFonts w:ascii="Times New Roman" w:hAnsi="Times New Roman"/>
          <w:color w:val="000000"/>
          <w:sz w:val="20"/>
        </w:rPr>
        <w:t xml:space="preserve"> or </w:t>
      </w:r>
      <w:r>
        <w:rPr>
          <w:rFonts w:ascii="Times New Roman" w:hAnsi="Times New Roman"/>
          <w:color w:val="000000"/>
          <w:sz w:val="20"/>
          <w:u w:val="single"/>
        </w:rPr>
        <w:t>clauses (B)(1)</w:t>
      </w:r>
      <w:r>
        <w:rPr>
          <w:rFonts w:ascii="Times New Roman" w:hAnsi="Times New Roman"/>
          <w:color w:val="000000"/>
          <w:sz w:val="20"/>
        </w:rPr>
        <w:t xml:space="preserve">, </w:t>
      </w:r>
      <w:r>
        <w:rPr>
          <w:rFonts w:ascii="Times New Roman" w:hAnsi="Times New Roman"/>
          <w:color w:val="000000"/>
          <w:sz w:val="20"/>
          <w:u w:val="single"/>
        </w:rPr>
        <w:t>(3)</w:t>
      </w:r>
      <w:r>
        <w:rPr>
          <w:rFonts w:ascii="Times New Roman" w:hAnsi="Times New Roman"/>
          <w:color w:val="000000"/>
          <w:sz w:val="20"/>
        </w:rPr>
        <w:t xml:space="preserve">, </w:t>
      </w:r>
      <w:r>
        <w:rPr>
          <w:rFonts w:ascii="Times New Roman" w:hAnsi="Times New Roman"/>
          <w:color w:val="000000"/>
          <w:sz w:val="20"/>
          <w:u w:val="single"/>
        </w:rPr>
        <w:t>(4)</w:t>
      </w:r>
      <w:r>
        <w:rPr>
          <w:rFonts w:ascii="Times New Roman" w:hAnsi="Times New Roman"/>
          <w:color w:val="000000"/>
          <w:sz w:val="20"/>
        </w:rPr>
        <w:t xml:space="preserve"> or </w:t>
      </w:r>
      <w:r>
        <w:rPr>
          <w:rFonts w:ascii="Times New Roman" w:hAnsi="Times New Roman"/>
          <w:color w:val="000000"/>
          <w:sz w:val="20"/>
          <w:u w:val="single"/>
        </w:rPr>
        <w:t>(10)</w:t>
      </w:r>
      <w:r>
        <w:rPr>
          <w:rFonts w:ascii="Times New Roman" w:hAnsi="Times New Roman"/>
          <w:color w:val="000000"/>
          <w:sz w:val="20"/>
        </w:rPr>
        <w:t xml:space="preserve"> may be taken into account in determining whether there has been, or would reasonably be expected to be, a Material Adverse Effect to the extent such state of facts, condition, development, effect, change, event, circumstance or occurrence has a disproportionate adverse effect on the Company, its Subsidiaries and the Affiliated Professional Entities, taken as a whole, as compared to other participants in the industry in which the Company, its Subsidiaries and the Affiliated Professional Entities operate (in which case only the incremental disproportionate impact or impacts (to the extent not otherwise excluded by this definition) may be taken into account in determining whether there has been, or would reasonably be expected to be, a Material Adverse Effect).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78</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1440"/>
        <w:jc w:val="left"/>
        <w:rPr>
          <w:color w:val="000000"/>
        </w:rPr>
      </w:pPr>
      <w:r>
        <w:rPr>
          <w:color w:val="000000"/>
        </w:rPr>
        <w:t>“</w:t>
      </w:r>
      <w:r>
        <w:rPr>
          <w:rFonts w:ascii="Times New Roman" w:hAnsi="Times New Roman"/>
          <w:color w:val="000000"/>
          <w:sz w:val="20"/>
          <w:u w:val="single"/>
        </w:rPr>
        <w:t>Open Source Software</w:t>
      </w:r>
      <w:r>
        <w:rPr>
          <w:rFonts w:ascii="Times New Roman" w:hAnsi="Times New Roman"/>
          <w:color w:val="000000"/>
          <w:sz w:val="20"/>
        </w:rPr>
        <w:t>” means any computer Software program whose source code is published and made available under a license meeting the Open Source Definition (as promulgated by the Open Source Initiative) or the Free Software Definition (as promulgated by the Free Software Foundation).</w:t>
      </w:r>
    </w:p>
    <w:p>
      <w:pPr>
        <w:pStyle w:val="TextBody"/>
        <w:bidi w:val="0"/>
        <w:spacing w:before="0" w:after="0"/>
        <w:jc w:val="left"/>
        <w:rPr/>
      </w:pPr>
      <w:r>
        <w:rPr/>
      </w:r>
    </w:p>
    <w:p>
      <w:pPr>
        <w:pStyle w:val="TextBody"/>
        <w:bidi w:val="0"/>
        <w:spacing w:before="0" w:after="0"/>
        <w:ind w:left="0" w:right="0" w:firstLine="1440"/>
        <w:jc w:val="left"/>
        <w:rPr>
          <w:color w:val="000000"/>
        </w:rPr>
      </w:pPr>
      <w:r>
        <w:rPr>
          <w:color w:val="000000"/>
        </w:rPr>
        <w:t>“</w:t>
      </w:r>
      <w:r>
        <w:rPr>
          <w:rFonts w:ascii="Times New Roman" w:hAnsi="Times New Roman"/>
          <w:color w:val="000000"/>
          <w:sz w:val="20"/>
          <w:u w:val="single"/>
        </w:rPr>
        <w:t>Owned Company Intellectual Property</w:t>
      </w:r>
      <w:r>
        <w:rPr>
          <w:rFonts w:ascii="Times New Roman" w:hAnsi="Times New Roman"/>
          <w:color w:val="000000"/>
          <w:sz w:val="20"/>
        </w:rPr>
        <w:t>” means all Intellectual Property owned or purported to be owned by the Company or any of its Subsidiaries or any of the Affiliated Professional Entities.</w:t>
      </w:r>
    </w:p>
    <w:p>
      <w:pPr>
        <w:pStyle w:val="TextBody"/>
        <w:bidi w:val="0"/>
        <w:spacing w:before="0" w:after="0"/>
        <w:jc w:val="left"/>
        <w:rPr/>
      </w:pPr>
      <w:r>
        <w:rPr/>
      </w:r>
    </w:p>
    <w:p>
      <w:pPr>
        <w:pStyle w:val="TextBody"/>
        <w:bidi w:val="0"/>
        <w:spacing w:before="0" w:after="0"/>
        <w:ind w:left="0" w:right="0" w:firstLine="1440"/>
        <w:jc w:val="left"/>
        <w:rPr>
          <w:color w:val="000000"/>
        </w:rPr>
      </w:pPr>
      <w:r>
        <w:rPr>
          <w:color w:val="000000"/>
        </w:rPr>
        <w:t>“</w:t>
      </w:r>
      <w:r>
        <w:rPr>
          <w:rFonts w:ascii="Times New Roman" w:hAnsi="Times New Roman"/>
          <w:color w:val="000000"/>
          <w:sz w:val="20"/>
          <w:u w:val="single"/>
        </w:rPr>
        <w:t>Parent Class B Shares</w:t>
      </w:r>
      <w:r>
        <w:rPr>
          <w:rFonts w:ascii="Times New Roman" w:hAnsi="Times New Roman"/>
          <w:color w:val="000000"/>
          <w:sz w:val="20"/>
        </w:rPr>
        <w:t>” means Class B Common Stock, par value $0.01 per share, of Parent.</w:t>
      </w:r>
    </w:p>
    <w:p>
      <w:pPr>
        <w:pStyle w:val="TextBody"/>
        <w:bidi w:val="0"/>
        <w:spacing w:before="0" w:after="0"/>
        <w:jc w:val="left"/>
        <w:rPr/>
      </w:pPr>
      <w:r>
        <w:rPr/>
      </w:r>
    </w:p>
    <w:p>
      <w:pPr>
        <w:pStyle w:val="TextBody"/>
        <w:bidi w:val="0"/>
        <w:spacing w:before="0" w:after="0"/>
        <w:ind w:left="0" w:right="0" w:firstLine="1440"/>
        <w:jc w:val="left"/>
        <w:rPr>
          <w:color w:val="000000"/>
        </w:rPr>
      </w:pPr>
      <w:r>
        <w:rPr>
          <w:color w:val="000000"/>
        </w:rPr>
        <w:t>“</w:t>
      </w:r>
      <w:r>
        <w:rPr>
          <w:rFonts w:ascii="Times New Roman" w:hAnsi="Times New Roman"/>
          <w:color w:val="000000"/>
          <w:sz w:val="20"/>
          <w:u w:val="single"/>
        </w:rPr>
        <w:t>Parent Material Adverse Effect</w:t>
      </w:r>
      <w:r>
        <w:rPr>
          <w:rFonts w:ascii="Times New Roman" w:hAnsi="Times New Roman"/>
          <w:color w:val="000000"/>
          <w:sz w:val="20"/>
        </w:rPr>
        <w:t>” means any effect, change, event or occurrence that would prevent or materially delay, interfere with, hinder or impair (i) the consummation by Parent or Merger Sub of any of the Transactions or (ii) the compliance by Parent or Merger Sub with its obligations under this Agreement.</w:t>
      </w:r>
    </w:p>
    <w:p>
      <w:pPr>
        <w:pStyle w:val="TextBody"/>
        <w:bidi w:val="0"/>
        <w:spacing w:before="0" w:after="0"/>
        <w:jc w:val="left"/>
        <w:rPr/>
      </w:pPr>
      <w:r>
        <w:rPr/>
      </w:r>
    </w:p>
    <w:p>
      <w:pPr>
        <w:pStyle w:val="TextBody"/>
        <w:bidi w:val="0"/>
        <w:spacing w:before="0" w:after="0"/>
        <w:ind w:left="0" w:right="0" w:firstLine="1440"/>
        <w:jc w:val="left"/>
        <w:rPr>
          <w:color w:val="000000"/>
        </w:rPr>
      </w:pPr>
      <w:r>
        <w:rPr>
          <w:color w:val="000000"/>
        </w:rPr>
        <w:t>“</w:t>
      </w:r>
      <w:r>
        <w:rPr>
          <w:rFonts w:ascii="Times New Roman" w:hAnsi="Times New Roman"/>
          <w:color w:val="000000"/>
          <w:sz w:val="20"/>
          <w:u w:val="single"/>
        </w:rPr>
        <w:t>PCI DSS</w:t>
      </w:r>
      <w:r>
        <w:rPr>
          <w:rFonts w:ascii="Times New Roman" w:hAnsi="Times New Roman"/>
          <w:color w:val="000000"/>
          <w:sz w:val="20"/>
        </w:rPr>
        <w:t>” means the Payment Card Industry Data Security Standard and any PCI DSS or card brand rules or regulations.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79</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1440"/>
        <w:jc w:val="left"/>
        <w:rPr>
          <w:color w:val="000000"/>
        </w:rPr>
      </w:pPr>
      <w:r>
        <w:rPr>
          <w:color w:val="000000"/>
        </w:rPr>
        <w:t>“</w:t>
      </w:r>
      <w:r>
        <w:rPr>
          <w:rFonts w:ascii="Times New Roman" w:hAnsi="Times New Roman"/>
          <w:color w:val="000000"/>
          <w:sz w:val="20"/>
          <w:u w:val="single"/>
        </w:rPr>
        <w:t>Permitted Encumbrances</w:t>
      </w:r>
      <w:r>
        <w:rPr>
          <w:rFonts w:ascii="Times New Roman" w:hAnsi="Times New Roman"/>
          <w:color w:val="000000"/>
          <w:sz w:val="20"/>
        </w:rPr>
        <w:t>” means (i) easements, rights-of-way, encroachments, restrictions, conditions and other similar non-monetary Encumbrances incurred or suffered in the ordinary course of business and which, individually or in the aggregate, do not and would not reasonably be expected to materially impair the use or value of the applicable real property or otherwise materially impair the present or reasonably contemplated business operations at such location, (ii) zoning, entitlement, building and other land use regulations imposed by Governmental Authorities having jurisdiction over such real property, (iii) statutory Encumbrances for Taxes not yet due and payable or the amount or validity of which are being contested in good faith and by appropriate proceedings for which adequate reserves have been established in accordance with GAAP, (iv) mechanics’, materialmen’s, carriers’, workmen’s, warehouseman’s, repairmen’s, and landlords’ liens granted or which arise in the ordinary course of business which are not due and payable or the amount or validity of which are contested in good faith by appropriate proceedings, (v) pledges or deposits under workmen’s compensation Laws, unemployment insurance Laws or similar legislation, or good-faith deposits in connection with bids, tenders, Contracts (other than for the payment of Indebtedness) or leases to which such entity is a party, or deposits to secure public or statutory obligations of such entity or to secure surety or appeal bonds to which such entity is a party, or deposits as security for contested Taxes, in each case incurred or made in the ordinary course of business, (vi) non-exclusive licenses of Intellectual Property granted to third parties in the ordinary course of business, (vii) Encumbrances discharged at or prior to the Effective Time, and (viii) other non-monetary Encumbrances that do not materially impair the existing use of the asset or property affected by such Encumbrance.</w:t>
      </w:r>
    </w:p>
    <w:p>
      <w:pPr>
        <w:pStyle w:val="TextBody"/>
        <w:bidi w:val="0"/>
        <w:spacing w:before="0" w:after="0"/>
        <w:jc w:val="left"/>
        <w:rPr/>
      </w:pPr>
      <w:r>
        <w:rPr/>
      </w:r>
    </w:p>
    <w:p>
      <w:pPr>
        <w:pStyle w:val="TextBody"/>
        <w:bidi w:val="0"/>
        <w:spacing w:before="0" w:after="0"/>
        <w:ind w:left="0" w:right="0" w:firstLine="1440"/>
        <w:jc w:val="left"/>
        <w:rPr>
          <w:color w:val="000000"/>
        </w:rPr>
      </w:pPr>
      <w:r>
        <w:rPr>
          <w:color w:val="000000"/>
        </w:rPr>
        <w:t>“</w:t>
      </w:r>
      <w:r>
        <w:rPr>
          <w:rFonts w:ascii="Times New Roman" w:hAnsi="Times New Roman"/>
          <w:color w:val="000000"/>
          <w:sz w:val="20"/>
          <w:u w:val="single"/>
        </w:rPr>
        <w:t>Person</w:t>
      </w:r>
      <w:r>
        <w:rPr>
          <w:rFonts w:ascii="Times New Roman" w:hAnsi="Times New Roman"/>
          <w:color w:val="000000"/>
          <w:sz w:val="20"/>
        </w:rPr>
        <w:t>” means an individual, corporation, limited liability company, partnership, joint venture, association, trust, unincorporated organization or any other entity, including a Governmental Authority.</w:t>
      </w:r>
    </w:p>
    <w:p>
      <w:pPr>
        <w:pStyle w:val="TextBody"/>
        <w:bidi w:val="0"/>
        <w:spacing w:before="0" w:after="0"/>
        <w:jc w:val="left"/>
        <w:rPr/>
      </w:pPr>
      <w:r>
        <w:rPr/>
      </w:r>
    </w:p>
    <w:p>
      <w:pPr>
        <w:pStyle w:val="TextBody"/>
        <w:bidi w:val="0"/>
        <w:spacing w:before="0" w:after="0"/>
        <w:ind w:left="0" w:right="0" w:firstLine="1440"/>
        <w:jc w:val="left"/>
        <w:rPr>
          <w:color w:val="000000"/>
        </w:rPr>
      </w:pPr>
      <w:r>
        <w:rPr>
          <w:color w:val="000000"/>
        </w:rPr>
        <w:t>“</w:t>
      </w:r>
      <w:r>
        <w:rPr>
          <w:rFonts w:ascii="Times New Roman" w:hAnsi="Times New Roman"/>
          <w:color w:val="000000"/>
          <w:sz w:val="20"/>
          <w:u w:val="single"/>
        </w:rPr>
        <w:t>Personal Information</w:t>
      </w:r>
      <w:r>
        <w:rPr>
          <w:rFonts w:ascii="Times New Roman" w:hAnsi="Times New Roman"/>
          <w:color w:val="000000"/>
          <w:sz w:val="20"/>
        </w:rPr>
        <w:t>” means all data and information that identifies, relates to, describes, is reasonably capable of being associated with, or could reasonably be linked, directly or indirectly to a particular individual or is otherwise is subject to any applicable Data Privacy Laws related to the privacy or security of information associated with an individual.</w:t>
      </w:r>
    </w:p>
    <w:p>
      <w:pPr>
        <w:pStyle w:val="TextBody"/>
        <w:bidi w:val="0"/>
        <w:spacing w:before="0" w:after="0"/>
        <w:jc w:val="left"/>
        <w:rPr/>
      </w:pPr>
      <w:r>
        <w:rPr/>
      </w:r>
    </w:p>
    <w:p>
      <w:pPr>
        <w:pStyle w:val="TextBody"/>
        <w:bidi w:val="0"/>
        <w:spacing w:before="0" w:after="0"/>
        <w:ind w:left="0" w:right="0" w:firstLine="1440"/>
        <w:jc w:val="both"/>
        <w:rPr>
          <w:color w:val="000000"/>
        </w:rPr>
      </w:pPr>
      <w:r>
        <w:rPr>
          <w:color w:val="000000"/>
        </w:rPr>
        <w:t>“</w:t>
      </w:r>
      <w:r>
        <w:rPr>
          <w:rFonts w:ascii="Times New Roman" w:hAnsi="Times New Roman"/>
          <w:color w:val="000000"/>
          <w:sz w:val="20"/>
          <w:u w:val="single"/>
        </w:rPr>
        <w:t>Privacy Consents</w:t>
      </w:r>
      <w:r>
        <w:rPr>
          <w:rFonts w:ascii="Times New Roman" w:hAnsi="Times New Roman"/>
          <w:color w:val="000000"/>
          <w:sz w:val="20"/>
        </w:rPr>
        <w:t>” means the terms of any consents, authorizations, waiver of authorization or other permission or third party terms pursuant to which the Company Processed or Processes Personal Information.</w:t>
      </w:r>
    </w:p>
    <w:p>
      <w:pPr>
        <w:pStyle w:val="TextBody"/>
        <w:bidi w:val="0"/>
        <w:spacing w:before="0" w:after="0"/>
        <w:jc w:val="left"/>
        <w:rPr/>
      </w:pPr>
      <w:r>
        <w:rPr/>
      </w:r>
    </w:p>
    <w:p>
      <w:pPr>
        <w:pStyle w:val="TextBody"/>
        <w:bidi w:val="0"/>
        <w:spacing w:before="0" w:after="0"/>
        <w:ind w:left="0" w:right="0" w:firstLine="1440"/>
        <w:jc w:val="left"/>
        <w:rPr>
          <w:color w:val="000000"/>
        </w:rPr>
      </w:pPr>
      <w:r>
        <w:rPr>
          <w:color w:val="000000"/>
        </w:rPr>
        <w:t>“</w:t>
      </w:r>
      <w:r>
        <w:rPr>
          <w:rFonts w:ascii="Times New Roman" w:hAnsi="Times New Roman"/>
          <w:color w:val="000000"/>
          <w:sz w:val="20"/>
          <w:u w:val="single"/>
        </w:rPr>
        <w:t>Processing</w:t>
      </w:r>
      <w:r>
        <w:rPr>
          <w:rFonts w:ascii="Times New Roman" w:hAnsi="Times New Roman"/>
          <w:color w:val="000000"/>
          <w:sz w:val="20"/>
        </w:rPr>
        <w:t>” shall mean any operation or set of operations which is performed on Personal Information, whether or not by automatic means, such as collection, recording, organization, access, storage, distribution, adaptation or alteration, retrieval, consultation, use, disclosure by transmission, dissemination, transfer or otherwise making available, alignment or combination, blocking, erasure or destruction.</w:t>
      </w:r>
    </w:p>
    <w:p>
      <w:pPr>
        <w:pStyle w:val="TextBody"/>
        <w:bidi w:val="0"/>
        <w:spacing w:before="0" w:after="0"/>
        <w:jc w:val="left"/>
        <w:rPr/>
      </w:pPr>
      <w:r>
        <w:rPr/>
      </w:r>
    </w:p>
    <w:p>
      <w:pPr>
        <w:pStyle w:val="TextBody"/>
        <w:bidi w:val="0"/>
        <w:spacing w:before="0" w:after="0"/>
        <w:ind w:left="0" w:right="0" w:firstLine="1440"/>
        <w:jc w:val="left"/>
        <w:rPr>
          <w:color w:val="000000"/>
        </w:rPr>
      </w:pPr>
      <w:r>
        <w:rPr>
          <w:color w:val="000000"/>
        </w:rPr>
        <w:t>“</w:t>
      </w:r>
      <w:r>
        <w:rPr>
          <w:rFonts w:ascii="Times New Roman" w:hAnsi="Times New Roman"/>
          <w:color w:val="000000"/>
          <w:sz w:val="20"/>
          <w:u w:val="single"/>
        </w:rPr>
        <w:t>Proprietary Information</w:t>
      </w:r>
      <w:r>
        <w:rPr>
          <w:rFonts w:ascii="Times New Roman" w:hAnsi="Times New Roman"/>
          <w:color w:val="000000"/>
          <w:sz w:val="20"/>
        </w:rPr>
        <w:t>” is defined in the definition of Intellectual Property.</w:t>
      </w:r>
    </w:p>
    <w:p>
      <w:pPr>
        <w:pStyle w:val="TextBody"/>
        <w:bidi w:val="0"/>
        <w:spacing w:before="0" w:after="0"/>
        <w:jc w:val="left"/>
        <w:rPr/>
      </w:pPr>
      <w:r>
        <w:rPr/>
      </w:r>
    </w:p>
    <w:p>
      <w:pPr>
        <w:pStyle w:val="TextBody"/>
        <w:bidi w:val="0"/>
        <w:spacing w:before="0" w:after="0"/>
        <w:ind w:left="0" w:right="0" w:firstLine="1440"/>
        <w:jc w:val="left"/>
        <w:rPr>
          <w:color w:val="000000"/>
        </w:rPr>
      </w:pPr>
      <w:r>
        <w:rPr>
          <w:color w:val="000000"/>
        </w:rPr>
        <w:t>“</w:t>
      </w:r>
      <w:r>
        <w:rPr>
          <w:rFonts w:ascii="Times New Roman" w:hAnsi="Times New Roman"/>
          <w:color w:val="000000"/>
          <w:sz w:val="20"/>
          <w:u w:val="single"/>
        </w:rPr>
        <w:t>Registered Company Intellectual Property</w:t>
      </w:r>
      <w:r>
        <w:rPr>
          <w:rFonts w:ascii="Times New Roman" w:hAnsi="Times New Roman"/>
          <w:color w:val="000000"/>
          <w:sz w:val="20"/>
        </w:rPr>
        <w:t>” means all Owned Company Intellectual Property that has been registered with or issued by, or is the subject of a pending application for such, with or by any Governmental Authority or domain name registrar, by or on behalf of the Company or any of its Subsidiaries or any of the Affiliated Professional Entities.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80</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1440"/>
        <w:jc w:val="left"/>
        <w:rPr>
          <w:color w:val="000000"/>
        </w:rPr>
      </w:pPr>
      <w:r>
        <w:rPr>
          <w:color w:val="000000"/>
        </w:rPr>
        <w:t>“</w:t>
      </w:r>
      <w:r>
        <w:rPr>
          <w:rFonts w:ascii="Times New Roman" w:hAnsi="Times New Roman"/>
          <w:color w:val="000000"/>
          <w:sz w:val="20"/>
          <w:u w:val="single"/>
        </w:rPr>
        <w:t>Representatives</w:t>
      </w:r>
      <w:r>
        <w:rPr>
          <w:rFonts w:ascii="Times New Roman" w:hAnsi="Times New Roman"/>
          <w:color w:val="000000"/>
          <w:sz w:val="20"/>
        </w:rPr>
        <w:t>” means, with respect to any Person, its officers, directors, employees, consultants, agents, financial advisors, investment bankers, attorneys, accountants, other advisors, Affiliates and other representatives.</w:t>
      </w:r>
    </w:p>
    <w:p>
      <w:pPr>
        <w:pStyle w:val="TextBody"/>
        <w:bidi w:val="0"/>
        <w:spacing w:before="0" w:after="0"/>
        <w:jc w:val="left"/>
        <w:rPr/>
      </w:pPr>
      <w:r>
        <w:rPr/>
      </w:r>
    </w:p>
    <w:p>
      <w:pPr>
        <w:pStyle w:val="TextBody"/>
        <w:bidi w:val="0"/>
        <w:spacing w:before="0" w:after="0"/>
        <w:ind w:left="0" w:right="0" w:firstLine="1440"/>
        <w:jc w:val="left"/>
        <w:rPr>
          <w:color w:val="000000"/>
        </w:rPr>
      </w:pPr>
      <w:r>
        <w:rPr>
          <w:color w:val="000000"/>
        </w:rPr>
        <w:t>“</w:t>
      </w:r>
      <w:r>
        <w:rPr>
          <w:rFonts w:ascii="Times New Roman" w:hAnsi="Times New Roman"/>
          <w:color w:val="000000"/>
          <w:sz w:val="20"/>
          <w:u w:val="single"/>
        </w:rPr>
        <w:t>Sarbanes-Oxley Act</w:t>
      </w:r>
      <w:r>
        <w:rPr>
          <w:rFonts w:ascii="Times New Roman" w:hAnsi="Times New Roman"/>
          <w:color w:val="000000"/>
          <w:sz w:val="20"/>
        </w:rPr>
        <w:t>” means the Sarbanes-Oxley Act of 2002 and the rules and regulations promulgated thereunder.</w:t>
      </w:r>
    </w:p>
    <w:p>
      <w:pPr>
        <w:pStyle w:val="TextBody"/>
        <w:bidi w:val="0"/>
        <w:spacing w:before="0" w:after="0"/>
        <w:jc w:val="left"/>
        <w:rPr/>
      </w:pPr>
      <w:r>
        <w:rPr/>
      </w:r>
    </w:p>
    <w:p>
      <w:pPr>
        <w:pStyle w:val="TextBody"/>
        <w:bidi w:val="0"/>
        <w:spacing w:before="0" w:after="0"/>
        <w:ind w:left="0" w:right="0" w:firstLine="1440"/>
        <w:jc w:val="left"/>
        <w:rPr>
          <w:color w:val="000000"/>
        </w:rPr>
      </w:pPr>
      <w:r>
        <w:rPr>
          <w:color w:val="000000"/>
        </w:rPr>
        <w:t>“</w:t>
      </w:r>
      <w:r>
        <w:rPr>
          <w:rFonts w:ascii="Times New Roman" w:hAnsi="Times New Roman"/>
          <w:color w:val="000000"/>
          <w:sz w:val="20"/>
          <w:u w:val="single"/>
        </w:rPr>
        <w:t>Securities Transfer Restriction Agreement</w:t>
      </w:r>
      <w:r>
        <w:rPr>
          <w:rFonts w:ascii="Times New Roman" w:hAnsi="Times New Roman"/>
          <w:color w:val="000000"/>
          <w:sz w:val="20"/>
        </w:rPr>
        <w:t>” means any agreement among the Company and its Subsidiaries, an Affiliated Professional Entity, and an equityholder of an Affiliated Professional Entity which prevents or limits the equityholder of an Affiliated Professional Entity from transferring the equity interests of such Affiliated Professional Entity.</w:t>
      </w:r>
    </w:p>
    <w:p>
      <w:pPr>
        <w:pStyle w:val="TextBody"/>
        <w:bidi w:val="0"/>
        <w:spacing w:before="0" w:after="0"/>
        <w:jc w:val="left"/>
        <w:rPr/>
      </w:pPr>
      <w:r>
        <w:rPr/>
      </w:r>
    </w:p>
    <w:p>
      <w:pPr>
        <w:pStyle w:val="TextBody"/>
        <w:bidi w:val="0"/>
        <w:spacing w:before="0" w:after="0"/>
        <w:ind w:left="0" w:right="0" w:firstLine="1440"/>
        <w:jc w:val="left"/>
        <w:rPr>
          <w:color w:val="000000"/>
        </w:rPr>
      </w:pPr>
      <w:r>
        <w:rPr>
          <w:color w:val="000000"/>
        </w:rPr>
        <w:t>“</w:t>
      </w:r>
      <w:r>
        <w:rPr>
          <w:rFonts w:ascii="Times New Roman" w:hAnsi="Times New Roman"/>
          <w:color w:val="000000"/>
          <w:sz w:val="20"/>
          <w:u w:val="single"/>
        </w:rPr>
        <w:t>Software</w:t>
      </w:r>
      <w:r>
        <w:rPr>
          <w:rFonts w:ascii="Times New Roman" w:hAnsi="Times New Roman"/>
          <w:color w:val="000000"/>
          <w:sz w:val="20"/>
        </w:rPr>
        <w:t>” means all software and computer programs, including all software implementations of algorithms, models and methodologies, whether in source code, object code or other form, whether or not copyrightable, and all versions, updates, corrections, enhancements, and modifications thereto, and all related documentation, developer notes, comments, training materials and annotations thereto.</w:t>
      </w:r>
    </w:p>
    <w:p>
      <w:pPr>
        <w:pStyle w:val="TextBody"/>
        <w:bidi w:val="0"/>
        <w:spacing w:before="0" w:after="0"/>
        <w:jc w:val="left"/>
        <w:rPr/>
      </w:pPr>
      <w:r>
        <w:rPr/>
      </w:r>
    </w:p>
    <w:p>
      <w:pPr>
        <w:pStyle w:val="TextBody"/>
        <w:bidi w:val="0"/>
        <w:spacing w:before="0" w:after="0"/>
        <w:ind w:left="0" w:right="0" w:firstLine="1440"/>
        <w:jc w:val="left"/>
        <w:rPr>
          <w:color w:val="000000"/>
        </w:rPr>
      </w:pPr>
      <w:r>
        <w:rPr>
          <w:color w:val="000000"/>
        </w:rPr>
        <w:t>“</w:t>
      </w:r>
      <w:r>
        <w:rPr>
          <w:rFonts w:ascii="Times New Roman" w:hAnsi="Times New Roman"/>
          <w:color w:val="000000"/>
          <w:sz w:val="20"/>
          <w:u w:val="single"/>
        </w:rPr>
        <w:t>Sponsor Support Agreement</w:t>
      </w:r>
      <w:r>
        <w:rPr>
          <w:rFonts w:ascii="Times New Roman" w:hAnsi="Times New Roman"/>
          <w:color w:val="000000"/>
          <w:sz w:val="20"/>
        </w:rPr>
        <w:t>” means that certain Sponsor Support Agreement, dated as of January 12, 2021, by and among HEC Sponsor LLC, a Delaware limited liability company, the persons set forth on Schedule I thereto, Hudson Executive Investment Corp., a Delaware corporation, and Groop Internet Platform, Inc., a Delaware corporation.</w:t>
      </w:r>
    </w:p>
    <w:p>
      <w:pPr>
        <w:pStyle w:val="TextBody"/>
        <w:bidi w:val="0"/>
        <w:spacing w:before="0" w:after="0"/>
        <w:jc w:val="left"/>
        <w:rPr/>
      </w:pPr>
      <w:r>
        <w:rPr/>
      </w:r>
    </w:p>
    <w:p>
      <w:pPr>
        <w:pStyle w:val="TextBody"/>
        <w:bidi w:val="0"/>
        <w:spacing w:before="0" w:after="0"/>
        <w:ind w:left="0" w:right="0" w:firstLine="1440"/>
        <w:jc w:val="left"/>
        <w:rPr>
          <w:color w:val="000000"/>
        </w:rPr>
      </w:pPr>
      <w:r>
        <w:rPr>
          <w:color w:val="000000"/>
        </w:rPr>
        <w:t>“</w:t>
      </w:r>
      <w:r>
        <w:rPr>
          <w:rFonts w:ascii="Times New Roman" w:hAnsi="Times New Roman"/>
          <w:color w:val="000000"/>
          <w:sz w:val="20"/>
          <w:u w:val="single"/>
        </w:rPr>
        <w:t>Subsidiary</w:t>
      </w:r>
      <w:r>
        <w:rPr>
          <w:rFonts w:ascii="Times New Roman" w:hAnsi="Times New Roman"/>
          <w:color w:val="000000"/>
          <w:sz w:val="20"/>
        </w:rPr>
        <w:t>”, when used with respect to any Person, means (i) any corporation, limited liability company, partnership, association, trust or other entity of which securities or other ownership interests representing more than 50% of the ordinary voting power (or, in the case of a partnership, more than 50% of the general partnership interests) are, as of such date, owned by such Person or one or more Subsidiaries of such Person or by such Person and one or more Subsidiaries of such Person or (ii) of which such Person or one of its Subsidiaries is a general partner or manager.  For the avoidance of doubt, a Subsidiary of the Company shall not include any of the Affiliated Professional Entities.</w:t>
      </w:r>
    </w:p>
    <w:p>
      <w:pPr>
        <w:pStyle w:val="TextBody"/>
        <w:bidi w:val="0"/>
        <w:spacing w:before="0" w:after="0"/>
        <w:jc w:val="left"/>
        <w:rPr/>
      </w:pPr>
      <w:r>
        <w:rPr/>
      </w:r>
    </w:p>
    <w:p>
      <w:pPr>
        <w:pStyle w:val="TextBody"/>
        <w:bidi w:val="0"/>
        <w:spacing w:before="0" w:after="0"/>
        <w:ind w:left="0" w:right="0" w:firstLine="1440"/>
        <w:jc w:val="left"/>
        <w:rPr>
          <w:color w:val="000000"/>
        </w:rPr>
      </w:pPr>
      <w:r>
        <w:rPr>
          <w:color w:val="000000"/>
        </w:rPr>
        <w:t>“</w:t>
      </w:r>
      <w:r>
        <w:rPr>
          <w:rFonts w:ascii="Times New Roman" w:hAnsi="Times New Roman"/>
          <w:color w:val="000000"/>
          <w:sz w:val="20"/>
          <w:u w:val="single"/>
        </w:rPr>
        <w:t>Tax Returns</w:t>
      </w:r>
      <w:r>
        <w:rPr>
          <w:rFonts w:ascii="Times New Roman" w:hAnsi="Times New Roman"/>
          <w:color w:val="000000"/>
          <w:sz w:val="20"/>
        </w:rPr>
        <w:t>” mean any reports, returns, information returns, filings, claims for refund or other information filed or required to be filed with a Governmental Authority in connection with Taxes, including any schedules or attachments thereto, and any amendments to any of the foregoing.</w:t>
      </w:r>
    </w:p>
    <w:p>
      <w:pPr>
        <w:pStyle w:val="TextBody"/>
        <w:bidi w:val="0"/>
        <w:spacing w:before="0" w:after="0"/>
        <w:jc w:val="left"/>
        <w:rPr/>
      </w:pPr>
      <w:r>
        <w:rPr/>
      </w:r>
    </w:p>
    <w:p>
      <w:pPr>
        <w:pStyle w:val="TextBody"/>
        <w:bidi w:val="0"/>
        <w:spacing w:before="0" w:after="0"/>
        <w:ind w:left="0" w:right="0" w:firstLine="1440"/>
        <w:jc w:val="left"/>
        <w:rPr>
          <w:color w:val="000000"/>
        </w:rPr>
      </w:pPr>
      <w:r>
        <w:rPr>
          <w:color w:val="000000"/>
        </w:rPr>
        <w:t>“</w:t>
      </w:r>
      <w:r>
        <w:rPr>
          <w:rFonts w:ascii="Times New Roman" w:hAnsi="Times New Roman"/>
          <w:color w:val="000000"/>
          <w:sz w:val="20"/>
          <w:u w:val="single"/>
        </w:rPr>
        <w:t>Taxes</w:t>
      </w:r>
      <w:r>
        <w:rPr>
          <w:rFonts w:ascii="Times New Roman" w:hAnsi="Times New Roman"/>
          <w:color w:val="000000"/>
          <w:sz w:val="20"/>
        </w:rPr>
        <w:t>” means all taxes, imposts, levies, duties, withholdings or other like assessments or charges, in each case in the nature of a tax, imposed by a Governmental Authority, together with all interest, penalties and additions imposed with respect to such amounts.</w:t>
      </w:r>
    </w:p>
    <w:p>
      <w:pPr>
        <w:pStyle w:val="TextBody"/>
        <w:bidi w:val="0"/>
        <w:spacing w:before="0" w:after="0"/>
        <w:jc w:val="left"/>
        <w:rPr/>
      </w:pPr>
      <w:r>
        <w:rPr/>
      </w:r>
    </w:p>
    <w:p>
      <w:pPr>
        <w:pStyle w:val="TextBody"/>
        <w:bidi w:val="0"/>
        <w:spacing w:before="0" w:after="0"/>
        <w:ind w:left="0" w:right="0" w:firstLine="1440"/>
        <w:jc w:val="left"/>
        <w:rPr>
          <w:color w:val="000000"/>
        </w:rPr>
      </w:pPr>
      <w:r>
        <w:rPr>
          <w:color w:val="000000"/>
        </w:rPr>
        <w:t>“</w:t>
      </w:r>
      <w:r>
        <w:rPr>
          <w:rFonts w:ascii="Times New Roman" w:hAnsi="Times New Roman"/>
          <w:color w:val="000000"/>
          <w:sz w:val="20"/>
          <w:u w:val="single"/>
        </w:rPr>
        <w:t>Third-Party Payor Programs</w:t>
      </w:r>
      <w:r>
        <w:rPr>
          <w:rFonts w:ascii="Times New Roman" w:hAnsi="Times New Roman"/>
          <w:color w:val="000000"/>
          <w:sz w:val="20"/>
        </w:rPr>
        <w:t>” means all third-party payor programs in which the Company or any of its Subsidiaries or any of the Affiliated Professional Entities participates in, including Medicare, Medicaid, TRICARE and any other federal, state, local or government agency-funded health care programs, as well as managed care plans, private, non-governmental insurance, workers compensation programs, and administered self-funded employer or union plans.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81</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1440"/>
        <w:jc w:val="left"/>
        <w:rPr>
          <w:color w:val="000000"/>
        </w:rPr>
      </w:pPr>
      <w:r>
        <w:rPr>
          <w:color w:val="000000"/>
        </w:rPr>
        <w:t>“</w:t>
      </w:r>
      <w:r>
        <w:rPr>
          <w:rFonts w:ascii="Times New Roman" w:hAnsi="Times New Roman"/>
          <w:color w:val="000000"/>
          <w:sz w:val="20"/>
          <w:u w:val="single"/>
        </w:rPr>
        <w:t>Trademarks</w:t>
      </w:r>
      <w:r>
        <w:rPr>
          <w:rFonts w:ascii="Times New Roman" w:hAnsi="Times New Roman"/>
          <w:color w:val="000000"/>
          <w:sz w:val="20"/>
        </w:rPr>
        <w:t>” is defined in the definition of Intellectual Property.</w:t>
      </w:r>
    </w:p>
    <w:p>
      <w:pPr>
        <w:pStyle w:val="TextBody"/>
        <w:bidi w:val="0"/>
        <w:spacing w:before="0" w:after="0"/>
        <w:jc w:val="left"/>
        <w:rPr/>
      </w:pPr>
      <w:r>
        <w:rPr/>
      </w:r>
    </w:p>
    <w:p>
      <w:pPr>
        <w:pStyle w:val="TextBody"/>
        <w:bidi w:val="0"/>
        <w:spacing w:before="0" w:after="0"/>
        <w:ind w:left="0" w:right="0" w:firstLine="1440"/>
        <w:jc w:val="left"/>
        <w:rPr>
          <w:color w:val="000000"/>
        </w:rPr>
      </w:pPr>
      <w:r>
        <w:rPr>
          <w:color w:val="000000"/>
        </w:rPr>
        <w:t>“</w:t>
      </w:r>
      <w:r>
        <w:rPr>
          <w:rFonts w:ascii="Times New Roman" w:hAnsi="Times New Roman"/>
          <w:color w:val="000000"/>
          <w:sz w:val="20"/>
          <w:u w:val="single"/>
        </w:rPr>
        <w:t>Transactions</w:t>
      </w:r>
      <w:r>
        <w:rPr>
          <w:rFonts w:ascii="Times New Roman" w:hAnsi="Times New Roman"/>
          <w:color w:val="000000"/>
          <w:sz w:val="20"/>
        </w:rPr>
        <w:t>” means, collectively, the transactions contemplated by this Agreement, including the Merger.</w:t>
      </w:r>
    </w:p>
    <w:p>
      <w:pPr>
        <w:pStyle w:val="TextBody"/>
        <w:bidi w:val="0"/>
        <w:spacing w:before="0" w:after="0"/>
        <w:jc w:val="left"/>
        <w:rPr/>
      </w:pPr>
      <w:r>
        <w:rPr/>
      </w:r>
    </w:p>
    <w:p>
      <w:pPr>
        <w:pStyle w:val="TextBody"/>
        <w:bidi w:val="0"/>
        <w:spacing w:before="0" w:after="0"/>
        <w:ind w:left="0" w:right="0" w:firstLine="1440"/>
        <w:jc w:val="left"/>
        <w:rPr>
          <w:color w:val="000000"/>
        </w:rPr>
      </w:pPr>
      <w:r>
        <w:rPr>
          <w:color w:val="000000"/>
        </w:rPr>
        <w:t>“</w:t>
      </w:r>
      <w:r>
        <w:rPr>
          <w:rFonts w:ascii="Times New Roman" w:hAnsi="Times New Roman"/>
          <w:color w:val="000000"/>
          <w:sz w:val="20"/>
          <w:u w:val="single"/>
        </w:rPr>
        <w:t>Willful Breach</w:t>
      </w:r>
      <w:r>
        <w:rPr>
          <w:rFonts w:ascii="Times New Roman" w:hAnsi="Times New Roman"/>
          <w:color w:val="000000"/>
          <w:sz w:val="20"/>
        </w:rPr>
        <w:t>” means a material breach of, or a material failure to perform, any representation, warranty or covenant set forth in this Agreement, in each case that is the consequence of an intentional act or intentional omission by the breaching party with the actual knowledge that the taking of such act or failure to take such act would result in such material breach or material failure to perform.</w:t>
      </w:r>
    </w:p>
    <w:p>
      <w:pPr>
        <w:pStyle w:val="TextBody"/>
        <w:bidi w:val="0"/>
        <w:spacing w:before="0" w:after="0"/>
        <w:jc w:val="left"/>
        <w:rPr/>
      </w:pPr>
      <w:r>
        <w:rPr/>
      </w:r>
    </w:p>
    <w:p>
      <w:pPr>
        <w:pStyle w:val="TextBody"/>
        <w:bidi w:val="0"/>
        <w:spacing w:before="0" w:after="0"/>
        <w:ind w:left="0" w:right="0" w:firstLine="1440"/>
        <w:jc w:val="left"/>
        <w:rPr>
          <w:color w:val="000000"/>
        </w:rPr>
      </w:pPr>
      <w:r>
        <w:rPr>
          <w:color w:val="000000"/>
        </w:rPr>
        <w:t>“</w:t>
      </w:r>
      <w:r>
        <w:rPr>
          <w:rFonts w:ascii="Times New Roman" w:hAnsi="Times New Roman"/>
          <w:color w:val="000000"/>
          <w:sz w:val="20"/>
          <w:u w:val="single"/>
        </w:rPr>
        <w:t>Warrant Agreement</w:t>
      </w:r>
      <w:r>
        <w:rPr>
          <w:rFonts w:ascii="Times New Roman" w:hAnsi="Times New Roman"/>
          <w:color w:val="000000"/>
          <w:sz w:val="20"/>
        </w:rPr>
        <w:t>” means the Warrant Agreement between Hudson Executive Investment Corp. and Continental Stock Transfer &amp; Trust Company, dated June 8, 2020.</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The following terms are defined on the page of this Agreement set forth after such term below:</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0" w:name="z196e6531db9a47e9918f80080dbbe8e2"/>
      <w:bookmarkStart w:id="11" w:name="z196e6531db9a47e9918f80080dbbe8e2"/>
      <w:bookmarkEnd w:id="11"/>
    </w:p>
    <w:tbl>
      <w:tblPr>
        <w:tblW w:w="5515" w:type="dxa"/>
        <w:jc w:val="left"/>
        <w:tblInd w:w="-15" w:type="dxa"/>
        <w:tblLayout w:type="fixed"/>
        <w:tblCellMar>
          <w:top w:w="28" w:type="dxa"/>
          <w:left w:w="28" w:type="dxa"/>
          <w:bottom w:w="28" w:type="dxa"/>
          <w:right w:w="28" w:type="dxa"/>
        </w:tblCellMar>
      </w:tblPr>
      <w:tblGrid>
        <w:gridCol w:w="3980"/>
        <w:gridCol w:w="1535"/>
      </w:tblGrid>
      <w:tr>
        <w:trPr/>
        <w:tc>
          <w:tcPr>
            <w:tcW w:w="39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b/>
              </w:rPr>
            </w:pPr>
            <w:r>
              <w:rPr>
                <w:b/>
              </w:rPr>
              <w:t>Terms Not Defined in this Section 8.12</w:t>
            </w:r>
          </w:p>
        </w:tc>
        <w:tc>
          <w:tcPr>
            <w:tcW w:w="153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b/>
              </w:rPr>
            </w:pPr>
            <w:r>
              <w:rPr>
                <w:b/>
              </w:rPr>
              <w:t>Section</w:t>
            </w:r>
          </w:p>
        </w:tc>
      </w:tr>
      <w:tr>
        <w:trPr/>
        <w:tc>
          <w:tcPr>
            <w:tcW w:w="39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Acceptable Confidentiality Agreement</w:t>
            </w:r>
          </w:p>
        </w:tc>
        <w:tc>
          <w:tcPr>
            <w:tcW w:w="153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Section 5.02(f)</w:t>
            </w:r>
          </w:p>
        </w:tc>
      </w:tr>
      <w:tr>
        <w:trPr/>
        <w:tc>
          <w:tcPr>
            <w:tcW w:w="39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Action</w:t>
            </w:r>
          </w:p>
        </w:tc>
        <w:tc>
          <w:tcPr>
            <w:tcW w:w="153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Section 3.07</w:t>
            </w:r>
          </w:p>
        </w:tc>
      </w:tr>
      <w:tr>
        <w:trPr/>
        <w:tc>
          <w:tcPr>
            <w:tcW w:w="39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Adverse Recommendation Change</w:t>
            </w:r>
          </w:p>
        </w:tc>
        <w:tc>
          <w:tcPr>
            <w:tcW w:w="153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Section 5.02(d)</w:t>
            </w:r>
          </w:p>
        </w:tc>
      </w:tr>
      <w:tr>
        <w:trPr/>
        <w:tc>
          <w:tcPr>
            <w:tcW w:w="39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Affiliate Transaction</w:t>
            </w:r>
          </w:p>
        </w:tc>
        <w:tc>
          <w:tcPr>
            <w:tcW w:w="153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Section 3.22</w:t>
            </w:r>
          </w:p>
        </w:tc>
      </w:tr>
      <w:tr>
        <w:trPr/>
        <w:tc>
          <w:tcPr>
            <w:tcW w:w="39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Agreement</w:t>
            </w:r>
          </w:p>
        </w:tc>
        <w:tc>
          <w:tcPr>
            <w:tcW w:w="153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Preamble</w:t>
            </w:r>
          </w:p>
        </w:tc>
      </w:tr>
      <w:tr>
        <w:trPr/>
        <w:tc>
          <w:tcPr>
            <w:tcW w:w="39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Announcement</w:t>
            </w:r>
          </w:p>
        </w:tc>
        <w:tc>
          <w:tcPr>
            <w:tcW w:w="153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Section 5.04</w:t>
            </w:r>
          </w:p>
        </w:tc>
      </w:tr>
      <w:tr>
        <w:trPr/>
        <w:tc>
          <w:tcPr>
            <w:tcW w:w="39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Appraisal Shares</w:t>
            </w:r>
          </w:p>
        </w:tc>
        <w:tc>
          <w:tcPr>
            <w:tcW w:w="153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Section 2.08(a)</w:t>
            </w:r>
          </w:p>
        </w:tc>
      </w:tr>
      <w:tr>
        <w:trPr/>
        <w:tc>
          <w:tcPr>
            <w:tcW w:w="39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Assumed Option</w:t>
            </w:r>
          </w:p>
        </w:tc>
        <w:tc>
          <w:tcPr>
            <w:tcW w:w="153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Section 2.03(d)</w:t>
            </w:r>
          </w:p>
        </w:tc>
      </w:tr>
      <w:tr>
        <w:trPr/>
        <w:tc>
          <w:tcPr>
            <w:tcW w:w="39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Assumed RSU</w:t>
            </w:r>
          </w:p>
        </w:tc>
        <w:tc>
          <w:tcPr>
            <w:tcW w:w="153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Section 2.03(b)</w:t>
            </w:r>
          </w:p>
        </w:tc>
      </w:tr>
      <w:tr>
        <w:trPr/>
        <w:tc>
          <w:tcPr>
            <w:tcW w:w="39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Balance Sheet Date</w:t>
            </w:r>
          </w:p>
        </w:tc>
        <w:tc>
          <w:tcPr>
            <w:tcW w:w="153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Section 3.05(c)</w:t>
            </w:r>
          </w:p>
        </w:tc>
      </w:tr>
      <w:tr>
        <w:trPr/>
        <w:tc>
          <w:tcPr>
            <w:tcW w:w="39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Bankruptcy and Equity Exception</w:t>
            </w:r>
          </w:p>
        </w:tc>
        <w:tc>
          <w:tcPr>
            <w:tcW w:w="153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Section 3.03(a)</w:t>
            </w:r>
          </w:p>
        </w:tc>
      </w:tr>
      <w:tr>
        <w:trPr/>
        <w:tc>
          <w:tcPr>
            <w:tcW w:w="39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Book-Entry Share</w:t>
            </w:r>
          </w:p>
        </w:tc>
        <w:tc>
          <w:tcPr>
            <w:tcW w:w="153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Section 2.01(c)</w:t>
            </w:r>
          </w:p>
        </w:tc>
      </w:tr>
      <w:tr>
        <w:trPr/>
        <w:tc>
          <w:tcPr>
            <w:tcW w:w="39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Capitalization Date</w:t>
            </w:r>
          </w:p>
        </w:tc>
        <w:tc>
          <w:tcPr>
            <w:tcW w:w="153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Section 3.02(a)</w:t>
            </w:r>
          </w:p>
        </w:tc>
      </w:tr>
      <w:tr>
        <w:trPr/>
        <w:tc>
          <w:tcPr>
            <w:tcW w:w="39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Certificate of Merger</w:t>
            </w:r>
          </w:p>
        </w:tc>
        <w:tc>
          <w:tcPr>
            <w:tcW w:w="153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Section 1.03</w:t>
            </w:r>
          </w:p>
        </w:tc>
      </w:tr>
      <w:tr>
        <w:trPr/>
        <w:tc>
          <w:tcPr>
            <w:tcW w:w="39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color w:val="000000"/>
              </w:rPr>
              <w:t>C</w:t>
            </w:r>
            <w:r>
              <w:rPr/>
              <w:t>laim</w:t>
            </w:r>
          </w:p>
        </w:tc>
        <w:tc>
          <w:tcPr>
            <w:tcW w:w="153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Section 5.06(c)</w:t>
            </w:r>
          </w:p>
        </w:tc>
      </w:tr>
      <w:tr>
        <w:trPr/>
        <w:tc>
          <w:tcPr>
            <w:tcW w:w="39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Closing</w:t>
            </w:r>
          </w:p>
        </w:tc>
        <w:tc>
          <w:tcPr>
            <w:tcW w:w="153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Section 1.02</w:t>
            </w:r>
          </w:p>
        </w:tc>
      </w:tr>
      <w:tr>
        <w:trPr/>
        <w:tc>
          <w:tcPr>
            <w:tcW w:w="39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Closing Date</w:t>
            </w:r>
          </w:p>
        </w:tc>
        <w:tc>
          <w:tcPr>
            <w:tcW w:w="153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Section 1.02</w:t>
            </w:r>
          </w:p>
        </w:tc>
      </w:tr>
      <w:tr>
        <w:trPr/>
        <w:tc>
          <w:tcPr>
            <w:tcW w:w="39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Company</w:t>
            </w:r>
          </w:p>
        </w:tc>
        <w:tc>
          <w:tcPr>
            <w:tcW w:w="153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Preamble</w:t>
            </w:r>
          </w:p>
        </w:tc>
      </w:tr>
      <w:tr>
        <w:trPr/>
        <w:tc>
          <w:tcPr>
            <w:tcW w:w="39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Company Acquisition Agreement</w:t>
            </w:r>
          </w:p>
        </w:tc>
        <w:tc>
          <w:tcPr>
            <w:tcW w:w="153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Section 5.02(d)</w:t>
            </w:r>
          </w:p>
        </w:tc>
      </w:tr>
      <w:tr>
        <w:trPr/>
        <w:tc>
          <w:tcPr>
            <w:tcW w:w="39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Company Board Recommendation</w:t>
            </w:r>
          </w:p>
        </w:tc>
        <w:tc>
          <w:tcPr>
            <w:tcW w:w="153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Recitals</w:t>
            </w:r>
          </w:p>
        </w:tc>
      </w:tr>
      <w:tr>
        <w:trPr/>
        <w:tc>
          <w:tcPr>
            <w:tcW w:w="39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Company Common Stock</w:t>
            </w:r>
          </w:p>
        </w:tc>
        <w:tc>
          <w:tcPr>
            <w:tcW w:w="153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Recitals</w:t>
            </w:r>
          </w:p>
        </w:tc>
      </w:tr>
      <w:tr>
        <w:trPr/>
        <w:tc>
          <w:tcPr>
            <w:tcW w:w="39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Company Disclosure Letter</w:t>
            </w:r>
          </w:p>
        </w:tc>
        <w:tc>
          <w:tcPr>
            <w:tcW w:w="153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Article III</w:t>
            </w:r>
          </w:p>
        </w:tc>
      </w:tr>
      <w:tr>
        <w:trPr/>
        <w:tc>
          <w:tcPr>
            <w:tcW w:w="39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Company ESPP</w:t>
            </w:r>
          </w:p>
        </w:tc>
        <w:tc>
          <w:tcPr>
            <w:tcW w:w="153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Section 2.05</w:t>
            </w:r>
          </w:p>
        </w:tc>
      </w:tr>
      <w:tr>
        <w:trPr/>
        <w:tc>
          <w:tcPr>
            <w:tcW w:w="39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Company Intellectual Property</w:t>
            </w:r>
          </w:p>
        </w:tc>
        <w:tc>
          <w:tcPr>
            <w:tcW w:w="153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Section 3.13(b)</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82</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zad4ec3ab75574988a81111ae50b55c1f"/>
      <w:bookmarkStart w:id="13" w:name="zad4ec3ab75574988a81111ae50b55c1f"/>
      <w:bookmarkEnd w:id="13"/>
    </w:p>
    <w:tbl>
      <w:tblPr>
        <w:tblW w:w="5785" w:type="dxa"/>
        <w:jc w:val="left"/>
        <w:tblInd w:w="-15" w:type="dxa"/>
        <w:tblLayout w:type="fixed"/>
        <w:tblCellMar>
          <w:top w:w="28" w:type="dxa"/>
          <w:left w:w="28" w:type="dxa"/>
          <w:bottom w:w="28" w:type="dxa"/>
          <w:right w:w="28" w:type="dxa"/>
        </w:tblCellMar>
      </w:tblPr>
      <w:tblGrid>
        <w:gridCol w:w="3980"/>
        <w:gridCol w:w="1805"/>
      </w:tblGrid>
      <w:tr>
        <w:trPr/>
        <w:tc>
          <w:tcPr>
            <w:tcW w:w="39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b/>
              </w:rPr>
            </w:pPr>
            <w:r>
              <w:rPr>
                <w:b/>
              </w:rPr>
              <w:t>Terms Not Defined in this Section 8.12</w:t>
            </w:r>
          </w:p>
        </w:tc>
        <w:tc>
          <w:tcPr>
            <w:tcW w:w="180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b/>
              </w:rPr>
            </w:pPr>
            <w:r>
              <w:rPr>
                <w:b/>
              </w:rPr>
              <w:t>Section</w:t>
            </w:r>
          </w:p>
        </w:tc>
      </w:tr>
      <w:tr>
        <w:trPr/>
        <w:tc>
          <w:tcPr>
            <w:tcW w:w="39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Company Preferred Stock</w:t>
            </w:r>
          </w:p>
        </w:tc>
        <w:tc>
          <w:tcPr>
            <w:tcW w:w="180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Section 3.02(a)</w:t>
            </w:r>
          </w:p>
        </w:tc>
      </w:tr>
      <w:tr>
        <w:trPr/>
        <w:tc>
          <w:tcPr>
            <w:tcW w:w="39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Company Related Parties</w:t>
            </w:r>
          </w:p>
        </w:tc>
        <w:tc>
          <w:tcPr>
            <w:tcW w:w="180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Section 7.03(c)</w:t>
            </w:r>
          </w:p>
        </w:tc>
      </w:tr>
      <w:tr>
        <w:trPr/>
        <w:tc>
          <w:tcPr>
            <w:tcW w:w="39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Company SEC Documents</w:t>
            </w:r>
          </w:p>
        </w:tc>
        <w:tc>
          <w:tcPr>
            <w:tcW w:w="180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Section 3.05(a)</w:t>
            </w:r>
          </w:p>
        </w:tc>
      </w:tr>
      <w:tr>
        <w:trPr/>
        <w:tc>
          <w:tcPr>
            <w:tcW w:w="39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Company Securities</w:t>
            </w:r>
          </w:p>
        </w:tc>
        <w:tc>
          <w:tcPr>
            <w:tcW w:w="180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Section 3.02(b)</w:t>
            </w:r>
          </w:p>
        </w:tc>
      </w:tr>
      <w:tr>
        <w:trPr/>
        <w:tc>
          <w:tcPr>
            <w:tcW w:w="39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Company Software</w:t>
            </w:r>
          </w:p>
        </w:tc>
        <w:tc>
          <w:tcPr>
            <w:tcW w:w="180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Section 3.13(i)</w:t>
            </w:r>
          </w:p>
        </w:tc>
      </w:tr>
      <w:tr>
        <w:trPr/>
        <w:tc>
          <w:tcPr>
            <w:tcW w:w="39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Company Stockholder Approval</w:t>
            </w:r>
          </w:p>
        </w:tc>
        <w:tc>
          <w:tcPr>
            <w:tcW w:w="180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Section 3.03(c)</w:t>
            </w:r>
          </w:p>
        </w:tc>
      </w:tr>
      <w:tr>
        <w:trPr/>
        <w:tc>
          <w:tcPr>
            <w:tcW w:w="39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Company Stockholders’ Meeting</w:t>
            </w:r>
          </w:p>
        </w:tc>
        <w:tc>
          <w:tcPr>
            <w:tcW w:w="180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Section 5.12(b)</w:t>
            </w:r>
          </w:p>
        </w:tc>
      </w:tr>
      <w:tr>
        <w:trPr/>
        <w:tc>
          <w:tcPr>
            <w:tcW w:w="39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Company Termination Fee</w:t>
            </w:r>
          </w:p>
        </w:tc>
        <w:tc>
          <w:tcPr>
            <w:tcW w:w="180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Section 7.03(a)(ii)</w:t>
            </w:r>
          </w:p>
        </w:tc>
      </w:tr>
      <w:tr>
        <w:trPr/>
        <w:tc>
          <w:tcPr>
            <w:tcW w:w="39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Comparability Period</w:t>
            </w:r>
          </w:p>
        </w:tc>
        <w:tc>
          <w:tcPr>
            <w:tcW w:w="180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Section 5.07(a)</w:t>
            </w:r>
          </w:p>
        </w:tc>
      </w:tr>
      <w:tr>
        <w:trPr/>
        <w:tc>
          <w:tcPr>
            <w:tcW w:w="39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Confidentiality Agreement</w:t>
            </w:r>
          </w:p>
        </w:tc>
        <w:tc>
          <w:tcPr>
            <w:tcW w:w="180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Section 5.05</w:t>
            </w:r>
          </w:p>
        </w:tc>
      </w:tr>
      <w:tr>
        <w:trPr/>
        <w:tc>
          <w:tcPr>
            <w:tcW w:w="39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Continuing Employee</w:t>
            </w:r>
          </w:p>
        </w:tc>
        <w:tc>
          <w:tcPr>
            <w:tcW w:w="180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Section 5.07(a)</w:t>
            </w:r>
          </w:p>
        </w:tc>
      </w:tr>
      <w:tr>
        <w:trPr/>
        <w:tc>
          <w:tcPr>
            <w:tcW w:w="39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DGCL</w:t>
            </w:r>
          </w:p>
        </w:tc>
        <w:tc>
          <w:tcPr>
            <w:tcW w:w="180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Recitals</w:t>
            </w:r>
          </w:p>
        </w:tc>
      </w:tr>
      <w:tr>
        <w:trPr/>
        <w:tc>
          <w:tcPr>
            <w:tcW w:w="39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DOJ</w:t>
            </w:r>
          </w:p>
        </w:tc>
        <w:tc>
          <w:tcPr>
            <w:tcW w:w="180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Section 5.03(d)</w:t>
            </w:r>
          </w:p>
        </w:tc>
      </w:tr>
      <w:tr>
        <w:trPr/>
        <w:tc>
          <w:tcPr>
            <w:tcW w:w="39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dollars</w:t>
            </w:r>
          </w:p>
        </w:tc>
        <w:tc>
          <w:tcPr>
            <w:tcW w:w="180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Section 8.16(a)</w:t>
            </w:r>
          </w:p>
        </w:tc>
      </w:tr>
      <w:tr>
        <w:trPr/>
        <w:tc>
          <w:tcPr>
            <w:tcW w:w="39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DTC</w:t>
            </w:r>
          </w:p>
        </w:tc>
        <w:tc>
          <w:tcPr>
            <w:tcW w:w="180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Section 2.02(b)(i)</w:t>
            </w:r>
          </w:p>
        </w:tc>
      </w:tr>
      <w:tr>
        <w:trPr/>
        <w:tc>
          <w:tcPr>
            <w:tcW w:w="39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Effective Time</w:t>
            </w:r>
          </w:p>
        </w:tc>
        <w:tc>
          <w:tcPr>
            <w:tcW w:w="180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Section 1.03</w:t>
            </w:r>
          </w:p>
        </w:tc>
      </w:tr>
      <w:tr>
        <w:trPr/>
        <w:tc>
          <w:tcPr>
            <w:tcW w:w="39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Environmental Laws</w:t>
            </w:r>
          </w:p>
        </w:tc>
        <w:tc>
          <w:tcPr>
            <w:tcW w:w="180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Section 3.12</w:t>
            </w:r>
          </w:p>
        </w:tc>
      </w:tr>
      <w:tr>
        <w:trPr/>
        <w:tc>
          <w:tcPr>
            <w:tcW w:w="39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ESPP Purchase Date</w:t>
            </w:r>
          </w:p>
        </w:tc>
        <w:tc>
          <w:tcPr>
            <w:tcW w:w="180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Section 2.05</w:t>
            </w:r>
          </w:p>
        </w:tc>
      </w:tr>
      <w:tr>
        <w:trPr/>
        <w:tc>
          <w:tcPr>
            <w:tcW w:w="39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Exchange Act</w:t>
            </w:r>
          </w:p>
        </w:tc>
        <w:tc>
          <w:tcPr>
            <w:tcW w:w="180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Section 3.04</w:t>
            </w:r>
          </w:p>
        </w:tc>
      </w:tr>
      <w:tr>
        <w:trPr/>
        <w:tc>
          <w:tcPr>
            <w:tcW w:w="39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Exchange Fund</w:t>
            </w:r>
          </w:p>
        </w:tc>
        <w:tc>
          <w:tcPr>
            <w:tcW w:w="180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Section 2.02(a)</w:t>
            </w:r>
          </w:p>
        </w:tc>
      </w:tr>
      <w:tr>
        <w:trPr/>
        <w:tc>
          <w:tcPr>
            <w:tcW w:w="39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Existing Purchase Period</w:t>
            </w:r>
          </w:p>
        </w:tc>
        <w:tc>
          <w:tcPr>
            <w:tcW w:w="180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Section 2.05</w:t>
            </w:r>
          </w:p>
        </w:tc>
      </w:tr>
      <w:tr>
        <w:trPr/>
        <w:tc>
          <w:tcPr>
            <w:tcW w:w="39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Filed SEC Documents</w:t>
            </w:r>
          </w:p>
        </w:tc>
        <w:tc>
          <w:tcPr>
            <w:tcW w:w="180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Article III</w:t>
            </w:r>
          </w:p>
        </w:tc>
      </w:tr>
      <w:tr>
        <w:trPr/>
        <w:tc>
          <w:tcPr>
            <w:tcW w:w="39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FTC</w:t>
            </w:r>
          </w:p>
        </w:tc>
        <w:tc>
          <w:tcPr>
            <w:tcW w:w="180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Section 5.03(d)</w:t>
            </w:r>
          </w:p>
        </w:tc>
      </w:tr>
      <w:tr>
        <w:trPr/>
        <w:tc>
          <w:tcPr>
            <w:tcW w:w="39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Healthcare Professional</w:t>
            </w:r>
          </w:p>
        </w:tc>
        <w:tc>
          <w:tcPr>
            <w:tcW w:w="180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Section 3.18(g)</w:t>
            </w:r>
          </w:p>
        </w:tc>
      </w:tr>
      <w:tr>
        <w:trPr/>
        <w:tc>
          <w:tcPr>
            <w:tcW w:w="39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Indebtedness</w:t>
            </w:r>
          </w:p>
        </w:tc>
        <w:tc>
          <w:tcPr>
            <w:tcW w:w="180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Section 5.01(b)(v)</w:t>
            </w:r>
          </w:p>
        </w:tc>
      </w:tr>
      <w:tr>
        <w:trPr/>
        <w:tc>
          <w:tcPr>
            <w:tcW w:w="39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Indemnitee</w:t>
            </w:r>
          </w:p>
        </w:tc>
        <w:tc>
          <w:tcPr>
            <w:tcW w:w="180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Section 5.06(a)</w:t>
            </w:r>
          </w:p>
        </w:tc>
      </w:tr>
      <w:tr>
        <w:trPr/>
        <w:tc>
          <w:tcPr>
            <w:tcW w:w="39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Indemnitees</w:t>
            </w:r>
          </w:p>
        </w:tc>
        <w:tc>
          <w:tcPr>
            <w:tcW w:w="180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Section 5.06(a)</w:t>
            </w:r>
          </w:p>
        </w:tc>
      </w:tr>
      <w:tr>
        <w:trPr/>
        <w:tc>
          <w:tcPr>
            <w:tcW w:w="39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Judgment</w:t>
            </w:r>
          </w:p>
        </w:tc>
        <w:tc>
          <w:tcPr>
            <w:tcW w:w="180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Section 3.07</w:t>
            </w:r>
          </w:p>
        </w:tc>
      </w:tr>
      <w:tr>
        <w:trPr/>
        <w:tc>
          <w:tcPr>
            <w:tcW w:w="39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Laws</w:t>
            </w:r>
          </w:p>
        </w:tc>
        <w:tc>
          <w:tcPr>
            <w:tcW w:w="180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Section 3.08(a)</w:t>
            </w:r>
          </w:p>
        </w:tc>
      </w:tr>
      <w:tr>
        <w:trPr/>
        <w:tc>
          <w:tcPr>
            <w:tcW w:w="39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Match Right Notice</w:t>
            </w:r>
          </w:p>
        </w:tc>
        <w:tc>
          <w:tcPr>
            <w:tcW w:w="180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Section 5.02(d)</w:t>
            </w:r>
          </w:p>
        </w:tc>
      </w:tr>
      <w:tr>
        <w:trPr/>
        <w:tc>
          <w:tcPr>
            <w:tcW w:w="39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Material Contract</w:t>
            </w:r>
          </w:p>
        </w:tc>
        <w:tc>
          <w:tcPr>
            <w:tcW w:w="180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Section 3.16(a)</w:t>
            </w:r>
          </w:p>
        </w:tc>
      </w:tr>
      <w:tr>
        <w:trPr/>
        <w:tc>
          <w:tcPr>
            <w:tcW w:w="39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Merger</w:t>
            </w:r>
          </w:p>
        </w:tc>
        <w:tc>
          <w:tcPr>
            <w:tcW w:w="180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Recitals</w:t>
            </w:r>
          </w:p>
        </w:tc>
      </w:tr>
      <w:tr>
        <w:trPr/>
        <w:tc>
          <w:tcPr>
            <w:tcW w:w="39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Merger Consideration</w:t>
            </w:r>
          </w:p>
        </w:tc>
        <w:tc>
          <w:tcPr>
            <w:tcW w:w="180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Section 2.01(c)</w:t>
            </w:r>
          </w:p>
        </w:tc>
      </w:tr>
      <w:tr>
        <w:trPr/>
        <w:tc>
          <w:tcPr>
            <w:tcW w:w="39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Merger Sub</w:t>
            </w:r>
          </w:p>
        </w:tc>
        <w:tc>
          <w:tcPr>
            <w:tcW w:w="180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Preamble</w:t>
            </w:r>
          </w:p>
        </w:tc>
      </w:tr>
      <w:tr>
        <w:trPr/>
        <w:tc>
          <w:tcPr>
            <w:tcW w:w="39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NASDAQ</w:t>
            </w:r>
          </w:p>
        </w:tc>
        <w:tc>
          <w:tcPr>
            <w:tcW w:w="180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Section 3.04</w:t>
            </w:r>
          </w:p>
        </w:tc>
      </w:tr>
      <w:tr>
        <w:trPr/>
        <w:tc>
          <w:tcPr>
            <w:tcW w:w="39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Non-U.S. Company Plan</w:t>
            </w:r>
          </w:p>
        </w:tc>
        <w:tc>
          <w:tcPr>
            <w:tcW w:w="180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Section 3.10(j)</w:t>
            </w:r>
          </w:p>
        </w:tc>
      </w:tr>
      <w:tr>
        <w:trPr/>
        <w:tc>
          <w:tcPr>
            <w:tcW w:w="39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OIG</w:t>
            </w:r>
          </w:p>
        </w:tc>
        <w:tc>
          <w:tcPr>
            <w:tcW w:w="180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Section 3.18(b)</w:t>
            </w:r>
          </w:p>
        </w:tc>
      </w:tr>
      <w:tr>
        <w:trPr/>
        <w:tc>
          <w:tcPr>
            <w:tcW w:w="39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Outside Date</w:t>
            </w:r>
          </w:p>
        </w:tc>
        <w:tc>
          <w:tcPr>
            <w:tcW w:w="180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Section 7.01(b)(i)</w:t>
            </w:r>
          </w:p>
        </w:tc>
      </w:tr>
      <w:tr>
        <w:trPr/>
        <w:tc>
          <w:tcPr>
            <w:tcW w:w="39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Parent</w:t>
            </w:r>
          </w:p>
        </w:tc>
        <w:tc>
          <w:tcPr>
            <w:tcW w:w="180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Preamble</w:t>
            </w:r>
          </w:p>
        </w:tc>
      </w:tr>
      <w:tr>
        <w:trPr/>
        <w:tc>
          <w:tcPr>
            <w:tcW w:w="39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Parent Related Parties</w:t>
            </w:r>
          </w:p>
        </w:tc>
        <w:tc>
          <w:tcPr>
            <w:tcW w:w="180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Section 7.03(c)</w:t>
            </w:r>
          </w:p>
        </w:tc>
      </w:tr>
      <w:tr>
        <w:trPr/>
        <w:tc>
          <w:tcPr>
            <w:tcW w:w="39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Paying Agent</w:t>
            </w:r>
          </w:p>
        </w:tc>
        <w:tc>
          <w:tcPr>
            <w:tcW w:w="180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Section 2.02(a)</w:t>
            </w:r>
          </w:p>
        </w:tc>
      </w:tr>
      <w:tr>
        <w:trPr/>
        <w:tc>
          <w:tcPr>
            <w:tcW w:w="39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Permits</w:t>
            </w:r>
          </w:p>
        </w:tc>
        <w:tc>
          <w:tcPr>
            <w:tcW w:w="180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Section 3.08(b)</w:t>
            </w:r>
          </w:p>
        </w:tc>
      </w:tr>
      <w:tr>
        <w:trPr/>
        <w:tc>
          <w:tcPr>
            <w:tcW w:w="39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Proprietary Information</w:t>
            </w:r>
          </w:p>
        </w:tc>
        <w:tc>
          <w:tcPr>
            <w:tcW w:w="180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Section 8.12</w:t>
            </w:r>
          </w:p>
        </w:tc>
      </w:tr>
      <w:tr>
        <w:trPr/>
        <w:tc>
          <w:tcPr>
            <w:tcW w:w="39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Proxy Statement</w:t>
            </w:r>
          </w:p>
        </w:tc>
        <w:tc>
          <w:tcPr>
            <w:tcW w:w="180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Section 3.04</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83</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z069d7aef380646a489239d93e3231a0d"/>
      <w:bookmarkStart w:id="15" w:name="z069d7aef380646a489239d93e3231a0d"/>
      <w:bookmarkEnd w:id="15"/>
    </w:p>
    <w:tbl>
      <w:tblPr>
        <w:tblW w:w="5515" w:type="dxa"/>
        <w:jc w:val="left"/>
        <w:tblInd w:w="-15" w:type="dxa"/>
        <w:tblLayout w:type="fixed"/>
        <w:tblCellMar>
          <w:top w:w="28" w:type="dxa"/>
          <w:left w:w="28" w:type="dxa"/>
          <w:bottom w:w="28" w:type="dxa"/>
          <w:right w:w="28" w:type="dxa"/>
        </w:tblCellMar>
      </w:tblPr>
      <w:tblGrid>
        <w:gridCol w:w="3980"/>
        <w:gridCol w:w="1535"/>
      </w:tblGrid>
      <w:tr>
        <w:trPr/>
        <w:tc>
          <w:tcPr>
            <w:tcW w:w="39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b/>
              </w:rPr>
            </w:pPr>
            <w:r>
              <w:rPr>
                <w:b/>
              </w:rPr>
              <w:t>Terms Not Defined in this Section 8.12</w:t>
            </w:r>
          </w:p>
        </w:tc>
        <w:tc>
          <w:tcPr>
            <w:tcW w:w="153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b/>
              </w:rPr>
            </w:pPr>
            <w:r>
              <w:rPr>
                <w:b/>
              </w:rPr>
              <w:t>Section</w:t>
            </w:r>
          </w:p>
        </w:tc>
      </w:tr>
      <w:tr>
        <w:trPr/>
        <w:tc>
          <w:tcPr>
            <w:tcW w:w="39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Referral Recipient</w:t>
            </w:r>
          </w:p>
        </w:tc>
        <w:tc>
          <w:tcPr>
            <w:tcW w:w="153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Section 3.18(e)</w:t>
            </w:r>
          </w:p>
        </w:tc>
      </w:tr>
      <w:tr>
        <w:trPr/>
        <w:tc>
          <w:tcPr>
            <w:tcW w:w="39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Referral Source</w:t>
            </w:r>
          </w:p>
        </w:tc>
        <w:tc>
          <w:tcPr>
            <w:tcW w:w="153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Section 3.18(e)</w:t>
            </w:r>
          </w:p>
        </w:tc>
      </w:tr>
      <w:tr>
        <w:trPr/>
        <w:tc>
          <w:tcPr>
            <w:tcW w:w="39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Restraints</w:t>
            </w:r>
          </w:p>
        </w:tc>
        <w:tc>
          <w:tcPr>
            <w:tcW w:w="153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Section 6.01(a)</w:t>
            </w:r>
          </w:p>
        </w:tc>
      </w:tr>
      <w:tr>
        <w:trPr/>
        <w:tc>
          <w:tcPr>
            <w:tcW w:w="39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Restriction</w:t>
            </w:r>
          </w:p>
        </w:tc>
        <w:tc>
          <w:tcPr>
            <w:tcW w:w="153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Section 5.03(d)</w:t>
            </w:r>
          </w:p>
        </w:tc>
      </w:tr>
      <w:tr>
        <w:trPr/>
        <w:tc>
          <w:tcPr>
            <w:tcW w:w="39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SEC</w:t>
            </w:r>
          </w:p>
        </w:tc>
        <w:tc>
          <w:tcPr>
            <w:tcW w:w="153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Section 3.04</w:t>
            </w:r>
          </w:p>
        </w:tc>
      </w:tr>
      <w:tr>
        <w:trPr/>
        <w:tc>
          <w:tcPr>
            <w:tcW w:w="39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SEC Clearance Date</w:t>
            </w:r>
          </w:p>
        </w:tc>
        <w:tc>
          <w:tcPr>
            <w:tcW w:w="153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Section 5.12(a)</w:t>
            </w:r>
          </w:p>
        </w:tc>
      </w:tr>
      <w:tr>
        <w:trPr/>
        <w:tc>
          <w:tcPr>
            <w:tcW w:w="39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Secretary of State of Delaware</w:t>
            </w:r>
          </w:p>
        </w:tc>
        <w:tc>
          <w:tcPr>
            <w:tcW w:w="153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Section 1.03</w:t>
            </w:r>
          </w:p>
        </w:tc>
      </w:tr>
      <w:tr>
        <w:trPr/>
        <w:tc>
          <w:tcPr>
            <w:tcW w:w="39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Section 409A</w:t>
            </w:r>
          </w:p>
        </w:tc>
        <w:tc>
          <w:tcPr>
            <w:tcW w:w="153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Section 2.04</w:t>
            </w:r>
          </w:p>
        </w:tc>
      </w:tr>
      <w:tr>
        <w:trPr/>
        <w:tc>
          <w:tcPr>
            <w:tcW w:w="39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Securities Act</w:t>
            </w:r>
          </w:p>
        </w:tc>
        <w:tc>
          <w:tcPr>
            <w:tcW w:w="153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Section 3.05(a)</w:t>
            </w:r>
          </w:p>
        </w:tc>
      </w:tr>
      <w:tr>
        <w:trPr/>
        <w:tc>
          <w:tcPr>
            <w:tcW w:w="39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Share Certificate</w:t>
            </w:r>
          </w:p>
        </w:tc>
        <w:tc>
          <w:tcPr>
            <w:tcW w:w="153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Section 2.01(c)</w:t>
            </w:r>
          </w:p>
        </w:tc>
      </w:tr>
      <w:tr>
        <w:trPr/>
        <w:tc>
          <w:tcPr>
            <w:tcW w:w="39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Superior Proposal</w:t>
            </w:r>
          </w:p>
        </w:tc>
        <w:tc>
          <w:tcPr>
            <w:tcW w:w="153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Section 5.02(h)</w:t>
            </w:r>
          </w:p>
        </w:tc>
      </w:tr>
      <w:tr>
        <w:trPr/>
        <w:tc>
          <w:tcPr>
            <w:tcW w:w="39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color w:val="000000"/>
              </w:rPr>
            </w:pPr>
            <w:r>
              <w:rPr>
                <w:color w:val="000000"/>
              </w:rPr>
              <w:t>Surviving Corporation</w:t>
            </w:r>
          </w:p>
        </w:tc>
        <w:tc>
          <w:tcPr>
            <w:tcW w:w="153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Section 1.01</w:t>
            </w:r>
          </w:p>
        </w:tc>
      </w:tr>
      <w:tr>
        <w:trPr/>
        <w:tc>
          <w:tcPr>
            <w:tcW w:w="39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Takeover Law</w:t>
            </w:r>
          </w:p>
        </w:tc>
        <w:tc>
          <w:tcPr>
            <w:tcW w:w="153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Section 3.19(b)</w:t>
            </w:r>
          </w:p>
        </w:tc>
      </w:tr>
      <w:tr>
        <w:trPr/>
        <w:tc>
          <w:tcPr>
            <w:tcW w:w="39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Takeover Proposal</w:t>
            </w:r>
          </w:p>
        </w:tc>
        <w:tc>
          <w:tcPr>
            <w:tcW w:w="153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Section 5.02(g)</w:t>
            </w:r>
          </w:p>
        </w:tc>
      </w:tr>
      <w:tr>
        <w:trPr/>
        <w:tc>
          <w:tcPr>
            <w:tcW w:w="39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Trademarks</w:t>
            </w:r>
          </w:p>
        </w:tc>
        <w:tc>
          <w:tcPr>
            <w:tcW w:w="153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Section 8.12</w:t>
            </w:r>
          </w:p>
        </w:tc>
      </w:tr>
      <w:tr>
        <w:trPr/>
        <w:tc>
          <w:tcPr>
            <w:tcW w:w="39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U.S.</w:t>
            </w:r>
          </w:p>
        </w:tc>
        <w:tc>
          <w:tcPr>
            <w:tcW w:w="153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Section 2.02(a)</w:t>
            </w:r>
          </w:p>
        </w:tc>
      </w:tr>
      <w:tr>
        <w:trPr/>
        <w:tc>
          <w:tcPr>
            <w:tcW w:w="39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Vested Company RSU</w:t>
            </w:r>
          </w:p>
        </w:tc>
        <w:tc>
          <w:tcPr>
            <w:tcW w:w="153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Section 2.03(a)</w:t>
            </w:r>
          </w:p>
        </w:tc>
      </w:tr>
      <w:tr>
        <w:trPr/>
        <w:tc>
          <w:tcPr>
            <w:tcW w:w="39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Vested Company Stock Option</w:t>
            </w:r>
          </w:p>
        </w:tc>
        <w:tc>
          <w:tcPr>
            <w:tcW w:w="153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Section 2.03(c)</w:t>
            </w:r>
          </w:p>
        </w:tc>
      </w:tr>
      <w:tr>
        <w:trPr/>
        <w:tc>
          <w:tcPr>
            <w:tcW w:w="39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Voting Agreements</w:t>
            </w:r>
          </w:p>
        </w:tc>
        <w:tc>
          <w:tcPr>
            <w:tcW w:w="153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Recitals</w:t>
            </w:r>
          </w:p>
        </w:tc>
      </w:tr>
      <w:tr>
        <w:trPr/>
        <w:tc>
          <w:tcPr>
            <w:tcW w:w="39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Warrant Price</w:t>
            </w:r>
          </w:p>
        </w:tc>
        <w:tc>
          <w:tcPr>
            <w:tcW w:w="153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Section 2.06</w:t>
            </w:r>
          </w:p>
        </w:tc>
      </w:tr>
      <w:tr>
        <w:trPr/>
        <w:tc>
          <w:tcPr>
            <w:tcW w:w="39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Wells Fargo</w:t>
            </w:r>
          </w:p>
        </w:tc>
        <w:tc>
          <w:tcPr>
            <w:tcW w:w="153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Section 3.20</w:t>
            </w:r>
          </w:p>
        </w:tc>
      </w:tr>
    </w:tbl>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8.13.  </w:t>
      </w:r>
      <w:r>
        <w:rPr>
          <w:rFonts w:ascii="Times New Roman" w:hAnsi="Times New Roman"/>
          <w:color w:val="000000"/>
          <w:sz w:val="20"/>
          <w:u w:val="single"/>
        </w:rPr>
        <w:t>Fees and Expenses</w:t>
      </w:r>
      <w:r>
        <w:rPr>
          <w:rFonts w:ascii="Times New Roman" w:hAnsi="Times New Roman"/>
          <w:color w:val="000000"/>
          <w:sz w:val="20"/>
        </w:rPr>
        <w:t>.  Whether or not the Transactions are consummated, all fees and expenses incurred in connection with this Agreement and the Transactions shall be paid by the party incurring or required to incur such fees or expenses, except as otherwise expressly set forth in this Agreement.</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8.14.  </w:t>
      </w:r>
      <w:r>
        <w:rPr>
          <w:rFonts w:ascii="Times New Roman" w:hAnsi="Times New Roman"/>
          <w:color w:val="000000"/>
          <w:sz w:val="20"/>
          <w:u w:val="single"/>
        </w:rPr>
        <w:t>Transfer Taxes</w:t>
      </w:r>
      <w:r>
        <w:rPr>
          <w:rFonts w:ascii="Times New Roman" w:hAnsi="Times New Roman"/>
          <w:color w:val="000000"/>
          <w:sz w:val="20"/>
        </w:rPr>
        <w:t>.  All transfer, documentary, sales, use, stamp, registration, value-added and other similar Taxes and fees incurred in connection with the Transactions shall be paid by Parent or Merger Sub when due and shall not be a liability of any holder of Company Common Stock or the Company.</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8.15.  </w:t>
      </w:r>
      <w:r>
        <w:rPr>
          <w:rFonts w:ascii="Times New Roman" w:hAnsi="Times New Roman"/>
          <w:color w:val="000000"/>
          <w:sz w:val="20"/>
          <w:u w:val="single"/>
        </w:rPr>
        <w:t>Performance Guaranty</w:t>
      </w:r>
      <w:r>
        <w:rPr>
          <w:rFonts w:ascii="Times New Roman" w:hAnsi="Times New Roman"/>
          <w:color w:val="000000"/>
          <w:sz w:val="20"/>
        </w:rPr>
        <w:t>.  Parent hereby guarantees the due, prompt and faithful performance and discharge by, and compliance with, all of the obligations, covenants, terms, conditions and undertakings of Merger Sub under this Agreement in accordance with the terms hereof, including any such obligations, covenants, terms, conditions and undertakings that are required to be performed, discharged or complied with following the Effective Time by the Surviving Corporation.</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8.16.  </w:t>
      </w:r>
      <w:r>
        <w:rPr>
          <w:rFonts w:ascii="Times New Roman" w:hAnsi="Times New Roman"/>
          <w:color w:val="000000"/>
          <w:sz w:val="20"/>
          <w:u w:val="single"/>
        </w:rPr>
        <w:t>Interpretation</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(a)  When a reference is made in this Agreement to an Article, a Section, an Exhibit or a Schedule, such reference shall be to an Article of, a Section of, an Exhibit to or a Schedule to this Agreement unless otherwise indicated.  The table of contents and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words “hereof”, “herein” and “hereunder” and words of similar import when used in this Agreement shall refer to this Agreement as a whole and not to any particular provision of this Agreement.  The words “date hereof” when used in this Agreement shall refer to the date of this Agreement.  The terms “or”, “any” and “either” are not exclusive.  The word “extent” in the phrase “to the extent” shall mean the degree to which a subject or other thing extends, and such phrase shall not mean simply “if”.  The word “will” shall be construed to have the same meaning and effect as the word “shall”.  The words “made available to Parent” and words of similar import refer to documents (A) posted to the “Project Toto” electronic datasite hosted by Datasite on behalf of the Company or (B) delivered in person or electronically to Parent or Merger Sub or their respective Representatives, in the case of each of </w:t>
      </w:r>
      <w:r>
        <w:rPr>
          <w:rFonts w:ascii="Times New Roman" w:hAnsi="Times New Roman"/>
          <w:color w:val="000000"/>
          <w:sz w:val="20"/>
          <w:u w:val="single"/>
        </w:rPr>
        <w:t>clauses (A)</w:t>
      </w:r>
      <w:r>
        <w:rPr>
          <w:rFonts w:ascii="Times New Roman" w:hAnsi="Times New Roman"/>
          <w:color w:val="000000"/>
          <w:sz w:val="20"/>
        </w:rPr>
        <w:t xml:space="preserve"> or </w:t>
      </w:r>
      <w:r>
        <w:rPr>
          <w:rFonts w:ascii="Times New Roman" w:hAnsi="Times New Roman"/>
          <w:color w:val="000000"/>
          <w:sz w:val="20"/>
          <w:u w:val="single"/>
        </w:rPr>
        <w:t>(B)</w:t>
      </w:r>
      <w:r>
        <w:rPr>
          <w:rFonts w:ascii="Times New Roman" w:hAnsi="Times New Roman"/>
          <w:color w:val="000000"/>
          <w:sz w:val="20"/>
        </w:rPr>
        <w:t>, prior to the execution and delivery of this Agreement.  All accounting terms used and not defined herein shall have the respective meanings given to them under GAAP.  All terms defined in this Agreement shall have the defined meanings when used in any document made or delivered pursuant hereto unless otherwise defined therein.  The definitions contained in this Agreement are applicable to the singular as well as the plural forms of such terms and to the masculine as well as to the feminine and neuter genders of such term.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including all attachments thereto and instruments incorporated therein.  References herein to any statute include all rules and regulations promulgated thereunder.  Unless otherwise specifically indicated, all references to “dollars” or “$” shall refer to the lawful money of the U.S.  References to a Person are also to its permitted assigns and successors.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84</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(b)  The parties hereto have participated jointly in the negotiation and drafting of this Agreement and, in the event an ambiguity or question of intent or interpretation arises, this Agreement shall be construed as jointly drafted by the parties hereto and no presumption or burden of proof shall arise favoring or disfavoring any party hereto by virtue of the authorship of any provision of this Agreement.</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r>
        <w:rPr>
          <w:rFonts w:ascii="Times New Roman" w:hAnsi="Times New Roman"/>
          <w:i/>
          <w:color w:val="000000"/>
          <w:sz w:val="20"/>
        </w:rPr>
        <w:t>Signature page follows</w:t>
      </w:r>
      <w:r>
        <w:rPr>
          <w:rFonts w:ascii="Times New Roman" w:hAnsi="Times New Roman"/>
          <w:color w:val="000000"/>
          <w:sz w:val="20"/>
        </w:rPr>
        <w:t>]</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85</w:t>
      </w:r>
    </w:p>
    <w:p>
      <w:pPr>
        <w:pStyle w:val="HorizontalLine"/>
        <w:pBdr>
          <w:bottom w:val="single" w:sz="12" w:space="0" w:color="808080"/>
        </w:pBdr>
        <w:bidi w:val="0"/>
        <w:spacing w:before="200" w:after="200"/>
        <w:jc w:val="left"/>
        <w:rPr/>
      </w:pPr>
      <w:r>
        <w:rPr/>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IN WITNESS WHEREOF, the parties hereto have caused this Agreement to be duly executed and delivered as of the date first above written.</w:t>
      </w:r>
    </w:p>
    <w:p>
      <w:pPr>
        <w:pStyle w:val="TextBody"/>
        <w:bidi w:val="0"/>
        <w:spacing w:before="0" w:after="0"/>
        <w:jc w:val="left"/>
        <w:rPr/>
      </w:pPr>
      <w:r>
        <w:rPr/>
      </w:r>
    </w:p>
    <w:tbl>
      <w:tblPr>
        <w:tblW w:w="4399" w:type="dxa"/>
        <w:jc w:val="left"/>
        <w:tblInd w:w="0" w:type="dxa"/>
        <w:tblLayout w:type="fixed"/>
        <w:tblCellMar>
          <w:top w:w="0" w:type="dxa"/>
          <w:left w:w="0" w:type="dxa"/>
          <w:bottom w:w="0" w:type="dxa"/>
          <w:right w:w="0" w:type="dxa"/>
        </w:tblCellMar>
      </w:tblPr>
      <w:tblGrid>
        <w:gridCol w:w="60"/>
        <w:gridCol w:w="539"/>
        <w:gridCol w:w="3740"/>
        <w:gridCol w:w="60"/>
      </w:tblGrid>
      <w:tr>
        <w:trPr/>
        <w:tc>
          <w:tcPr>
            <w:tcW w:w="60" w:type="dxa"/>
            <w:tcBorders/>
          </w:tcPr>
          <w:p>
            <w:pPr>
              <w:pStyle w:val="TableContents"/>
              <w:bidi w:val="0"/>
              <w:spacing w:before="0" w:after="283"/>
              <w:jc w:val="left"/>
              <w:rPr/>
            </w:pPr>
            <w:r>
              <w:rPr/>
              <w:t> </w:t>
            </w:r>
          </w:p>
        </w:tc>
        <w:tc>
          <w:tcPr>
            <w:tcW w:w="4279" w:type="dxa"/>
            <w:gridSpan w:val="2"/>
            <w:tcBorders/>
          </w:tcPr>
          <w:p>
            <w:pPr>
              <w:pStyle w:val="TableContents"/>
              <w:bidi w:val="0"/>
              <w:spacing w:before="0" w:after="283"/>
              <w:jc w:val="left"/>
              <w:rPr>
                <w:b/>
              </w:rPr>
            </w:pPr>
            <w:r>
              <w:rPr>
                <w:b/>
                <w:u w:val="single"/>
              </w:rPr>
              <w:t>PARENT</w:t>
            </w:r>
            <w:r>
              <w:rPr>
                <w:b/>
              </w:rPr>
              <w:t>:</w:t>
            </w:r>
          </w:p>
        </w:tc>
        <w:tc>
          <w:tcPr>
            <w:tcW w:w="60" w:type="dxa"/>
            <w:tcBorders/>
          </w:tcPr>
          <w:p>
            <w:pPr>
              <w:pStyle w:val="TableContents"/>
              <w:bidi w:val="0"/>
              <w:spacing w:before="0" w:after="283"/>
              <w:jc w:val="left"/>
              <w:rPr/>
            </w:pPr>
            <w:r>
              <w:rPr/>
              <w:t> </w:t>
            </w:r>
          </w:p>
        </w:tc>
      </w:tr>
      <w:tr>
        <w:trPr/>
        <w:tc>
          <w:tcPr>
            <w:tcW w:w="60" w:type="dxa"/>
            <w:tcBorders/>
          </w:tcPr>
          <w:p>
            <w:pPr>
              <w:pStyle w:val="TableContents"/>
              <w:bidi w:val="0"/>
              <w:spacing w:before="0" w:after="283"/>
              <w:jc w:val="left"/>
              <w:rPr/>
            </w:pPr>
            <w:r>
              <w:rPr/>
              <w:t> </w:t>
            </w:r>
          </w:p>
        </w:tc>
        <w:tc>
          <w:tcPr>
            <w:tcW w:w="4279" w:type="dxa"/>
            <w:gridSpan w:val="2"/>
            <w:tcBorders/>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r>
      <w:tr>
        <w:trPr/>
        <w:tc>
          <w:tcPr>
            <w:tcW w:w="60" w:type="dxa"/>
            <w:tcBorders/>
          </w:tcPr>
          <w:p>
            <w:pPr>
              <w:pStyle w:val="TableContents"/>
              <w:bidi w:val="0"/>
              <w:spacing w:before="0" w:after="283"/>
              <w:jc w:val="left"/>
              <w:rPr/>
            </w:pPr>
            <w:r>
              <w:rPr/>
              <w:t> </w:t>
            </w:r>
          </w:p>
        </w:tc>
        <w:tc>
          <w:tcPr>
            <w:tcW w:w="4279" w:type="dxa"/>
            <w:gridSpan w:val="2"/>
            <w:tcBorders/>
          </w:tcPr>
          <w:p>
            <w:pPr>
              <w:pStyle w:val="TableContents"/>
              <w:bidi w:val="0"/>
              <w:spacing w:before="0" w:after="283"/>
              <w:jc w:val="left"/>
              <w:rPr/>
            </w:pPr>
            <w:r>
              <w:rPr/>
              <w:t>UNIVERSAL HEALTH SERVICES, INC.</w:t>
            </w:r>
          </w:p>
        </w:tc>
        <w:tc>
          <w:tcPr>
            <w:tcW w:w="60" w:type="dxa"/>
            <w:tcBorders/>
          </w:tcPr>
          <w:p>
            <w:pPr>
              <w:pStyle w:val="TableContents"/>
              <w:bidi w:val="0"/>
              <w:spacing w:before="0" w:after="283"/>
              <w:jc w:val="left"/>
              <w:rPr/>
            </w:pPr>
            <w:r>
              <w:rPr/>
              <w:t> </w:t>
            </w:r>
          </w:p>
        </w:tc>
      </w:tr>
      <w:tr>
        <w:trPr/>
        <w:tc>
          <w:tcPr>
            <w:tcW w:w="60" w:type="dxa"/>
            <w:tcBorders/>
          </w:tcPr>
          <w:p>
            <w:pPr>
              <w:pStyle w:val="TableContents"/>
              <w:bidi w:val="0"/>
              <w:spacing w:before="0" w:after="283"/>
              <w:jc w:val="left"/>
              <w:rPr/>
            </w:pPr>
            <w:r>
              <w:rPr/>
              <w:t> </w:t>
            </w:r>
          </w:p>
        </w:tc>
        <w:tc>
          <w:tcPr>
            <w:tcW w:w="539" w:type="dxa"/>
            <w:tcBorders/>
          </w:tcPr>
          <w:p>
            <w:pPr>
              <w:pStyle w:val="TableContents"/>
              <w:bidi w:val="0"/>
              <w:spacing w:before="0" w:after="283"/>
              <w:jc w:val="left"/>
              <w:rPr/>
            </w:pPr>
            <w:r>
              <w:rPr/>
              <w:t> </w:t>
            </w:r>
          </w:p>
        </w:tc>
        <w:tc>
          <w:tcPr>
            <w:tcW w:w="3740" w:type="dxa"/>
            <w:tcBorders/>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r>
      <w:tr>
        <w:trPr/>
        <w:tc>
          <w:tcPr>
            <w:tcW w:w="60" w:type="dxa"/>
            <w:tcBorders/>
          </w:tcPr>
          <w:p>
            <w:pPr>
              <w:pStyle w:val="TableContents"/>
              <w:bidi w:val="0"/>
              <w:spacing w:before="0" w:after="0"/>
              <w:ind w:left="0" w:right="0" w:hanging="0"/>
              <w:jc w:val="left"/>
              <w:rPr/>
            </w:pPr>
            <w:r>
              <w:rPr/>
            </w:r>
          </w:p>
        </w:tc>
        <w:tc>
          <w:tcPr>
            <w:tcW w:w="539" w:type="dxa"/>
            <w:tcBorders/>
          </w:tcPr>
          <w:p>
            <w:pPr>
              <w:pStyle w:val="TableContents"/>
              <w:bidi w:val="0"/>
              <w:spacing w:before="0" w:after="0"/>
              <w:ind w:left="0" w:right="0" w:hanging="0"/>
              <w:jc w:val="left"/>
              <w:rPr/>
            </w:pPr>
            <w:r>
              <w:rPr/>
              <w:t xml:space="preserve">By: </w:t>
            </w:r>
          </w:p>
        </w:tc>
        <w:tc>
          <w:tcPr>
            <w:tcW w:w="3740" w:type="dxa"/>
            <w:tcBorders>
              <w:bottom w:val="single" w:sz="12" w:space="0" w:color="000000"/>
            </w:tcBorders>
            <w:tcMar>
              <w:bottom w:w="28" w:type="dxa"/>
            </w:tcMar>
          </w:tcPr>
          <w:p>
            <w:pPr>
              <w:pStyle w:val="TableContents"/>
              <w:bidi w:val="0"/>
              <w:spacing w:before="0" w:after="283"/>
              <w:jc w:val="left"/>
              <w:rPr/>
            </w:pPr>
            <w:r>
              <w:rPr/>
              <w:t xml:space="preserve">/s/ Steve Filton </w:t>
            </w:r>
          </w:p>
        </w:tc>
        <w:tc>
          <w:tcPr>
            <w:tcW w:w="60" w:type="dxa"/>
            <w:tcBorders/>
          </w:tcPr>
          <w:p>
            <w:pPr>
              <w:pStyle w:val="TableContents"/>
              <w:bidi w:val="0"/>
              <w:spacing w:before="0" w:after="283"/>
              <w:jc w:val="left"/>
              <w:rPr/>
            </w:pPr>
            <w:r>
              <w:rPr/>
              <w:t> </w:t>
            </w:r>
          </w:p>
        </w:tc>
      </w:tr>
      <w:tr>
        <w:trPr/>
        <w:tc>
          <w:tcPr>
            <w:tcW w:w="60" w:type="dxa"/>
            <w:tcBorders/>
          </w:tcPr>
          <w:p>
            <w:pPr>
              <w:pStyle w:val="TableContents"/>
              <w:bidi w:val="0"/>
              <w:spacing w:before="0" w:after="283"/>
              <w:jc w:val="left"/>
              <w:rPr/>
            </w:pPr>
            <w:r>
              <w:rPr/>
              <w:t> </w:t>
            </w:r>
          </w:p>
        </w:tc>
        <w:tc>
          <w:tcPr>
            <w:tcW w:w="539" w:type="dxa"/>
            <w:tcBorders/>
          </w:tcPr>
          <w:p>
            <w:pPr>
              <w:pStyle w:val="TableContents"/>
              <w:bidi w:val="0"/>
              <w:spacing w:before="0" w:after="283"/>
              <w:jc w:val="left"/>
              <w:rPr/>
            </w:pPr>
            <w:r>
              <w:rPr/>
              <w:t> </w:t>
            </w:r>
          </w:p>
        </w:tc>
        <w:tc>
          <w:tcPr>
            <w:tcW w:w="3740" w:type="dxa"/>
            <w:tcBorders/>
            <w:vAlign w:val="bottom"/>
          </w:tcPr>
          <w:p>
            <w:pPr>
              <w:pStyle w:val="TableContents"/>
              <w:bidi w:val="0"/>
              <w:spacing w:before="0" w:after="283"/>
              <w:jc w:val="left"/>
              <w:rPr/>
            </w:pPr>
            <w:r>
              <w:rPr/>
              <w:t>Name:  Steve Filton</w:t>
            </w:r>
          </w:p>
        </w:tc>
        <w:tc>
          <w:tcPr>
            <w:tcW w:w="60" w:type="dxa"/>
            <w:tcBorders/>
          </w:tcPr>
          <w:p>
            <w:pPr>
              <w:pStyle w:val="TableContents"/>
              <w:bidi w:val="0"/>
              <w:spacing w:before="0" w:after="283"/>
              <w:jc w:val="left"/>
              <w:rPr/>
            </w:pPr>
            <w:r>
              <w:rPr/>
              <w:t> </w:t>
            </w:r>
          </w:p>
        </w:tc>
      </w:tr>
      <w:tr>
        <w:trPr/>
        <w:tc>
          <w:tcPr>
            <w:tcW w:w="60" w:type="dxa"/>
            <w:tcBorders/>
          </w:tcPr>
          <w:p>
            <w:pPr>
              <w:pStyle w:val="TableContents"/>
              <w:bidi w:val="0"/>
              <w:spacing w:before="0" w:after="283"/>
              <w:jc w:val="left"/>
              <w:rPr/>
            </w:pPr>
            <w:r>
              <w:rPr/>
              <w:t> </w:t>
            </w:r>
          </w:p>
        </w:tc>
        <w:tc>
          <w:tcPr>
            <w:tcW w:w="539" w:type="dxa"/>
            <w:tcBorders/>
          </w:tcPr>
          <w:p>
            <w:pPr>
              <w:pStyle w:val="TableContents"/>
              <w:bidi w:val="0"/>
              <w:spacing w:before="0" w:after="283"/>
              <w:jc w:val="left"/>
              <w:rPr/>
            </w:pPr>
            <w:r>
              <w:rPr/>
              <w:t> </w:t>
            </w:r>
          </w:p>
        </w:tc>
        <w:tc>
          <w:tcPr>
            <w:tcW w:w="3740" w:type="dxa"/>
            <w:tcBorders/>
          </w:tcPr>
          <w:p>
            <w:pPr>
              <w:pStyle w:val="TableContents"/>
              <w:bidi w:val="0"/>
              <w:spacing w:before="0" w:after="283"/>
              <w:jc w:val="left"/>
              <w:rPr/>
            </w:pPr>
            <w:r>
              <w:rPr/>
              <w:t>Title:    Chief Financial Officer</w:t>
            </w:r>
          </w:p>
        </w:tc>
        <w:tc>
          <w:tcPr>
            <w:tcW w:w="60" w:type="dxa"/>
            <w:tcBorders/>
          </w:tcPr>
          <w:p>
            <w:pPr>
              <w:pStyle w:val="TableContents"/>
              <w:bidi w:val="0"/>
              <w:spacing w:before="0" w:after="283"/>
              <w:jc w:val="left"/>
              <w:rPr/>
            </w:pPr>
            <w:r>
              <w:rPr/>
              <w:t> </w:t>
            </w:r>
          </w:p>
        </w:tc>
      </w:tr>
      <w:tr>
        <w:trPr/>
        <w:tc>
          <w:tcPr>
            <w:tcW w:w="60" w:type="dxa"/>
            <w:tcBorders/>
          </w:tcPr>
          <w:p>
            <w:pPr>
              <w:pStyle w:val="TableContents"/>
              <w:bidi w:val="0"/>
              <w:spacing w:before="0" w:after="283"/>
              <w:jc w:val="left"/>
              <w:rPr/>
            </w:pPr>
            <w:r>
              <w:rPr/>
              <w:t> </w:t>
            </w:r>
          </w:p>
        </w:tc>
        <w:tc>
          <w:tcPr>
            <w:tcW w:w="539" w:type="dxa"/>
            <w:tcBorders/>
          </w:tcPr>
          <w:p>
            <w:pPr>
              <w:pStyle w:val="TableContents"/>
              <w:bidi w:val="0"/>
              <w:spacing w:before="0" w:after="283"/>
              <w:jc w:val="left"/>
              <w:rPr/>
            </w:pPr>
            <w:r>
              <w:rPr/>
              <w:t> </w:t>
            </w:r>
          </w:p>
        </w:tc>
        <w:tc>
          <w:tcPr>
            <w:tcW w:w="3740" w:type="dxa"/>
            <w:tcBorders/>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tbl>
      <w:tblPr>
        <w:tblW w:w="3844" w:type="dxa"/>
        <w:jc w:val="left"/>
        <w:tblInd w:w="0" w:type="dxa"/>
        <w:tblLayout w:type="fixed"/>
        <w:tblCellMar>
          <w:top w:w="0" w:type="dxa"/>
          <w:left w:w="0" w:type="dxa"/>
          <w:bottom w:w="0" w:type="dxa"/>
          <w:right w:w="0" w:type="dxa"/>
        </w:tblCellMar>
      </w:tblPr>
      <w:tblGrid>
        <w:gridCol w:w="60"/>
        <w:gridCol w:w="618"/>
        <w:gridCol w:w="3106"/>
        <w:gridCol w:w="60"/>
      </w:tblGrid>
      <w:tr>
        <w:trPr/>
        <w:tc>
          <w:tcPr>
            <w:tcW w:w="60" w:type="dxa"/>
            <w:tcBorders/>
          </w:tcPr>
          <w:p>
            <w:pPr>
              <w:pStyle w:val="TableContents"/>
              <w:bidi w:val="0"/>
              <w:spacing w:before="0" w:after="283"/>
              <w:jc w:val="left"/>
              <w:rPr/>
            </w:pPr>
            <w:r>
              <w:rPr/>
              <w:t> </w:t>
            </w:r>
          </w:p>
        </w:tc>
        <w:tc>
          <w:tcPr>
            <w:tcW w:w="3724" w:type="dxa"/>
            <w:gridSpan w:val="2"/>
            <w:tcBorders/>
          </w:tcPr>
          <w:p>
            <w:pPr>
              <w:pStyle w:val="TableContents"/>
              <w:bidi w:val="0"/>
              <w:spacing w:before="0" w:after="283"/>
              <w:jc w:val="left"/>
              <w:rPr>
                <w:b/>
              </w:rPr>
            </w:pPr>
            <w:r>
              <w:rPr>
                <w:b/>
                <w:u w:val="single"/>
              </w:rPr>
              <w:t>MERGER SUB</w:t>
            </w:r>
            <w:r>
              <w:rPr>
                <w:b/>
              </w:rPr>
              <w:t>:</w:t>
            </w:r>
          </w:p>
        </w:tc>
        <w:tc>
          <w:tcPr>
            <w:tcW w:w="60" w:type="dxa"/>
            <w:tcBorders/>
          </w:tcPr>
          <w:p>
            <w:pPr>
              <w:pStyle w:val="TableContents"/>
              <w:bidi w:val="0"/>
              <w:spacing w:before="0" w:after="283"/>
              <w:jc w:val="left"/>
              <w:rPr/>
            </w:pPr>
            <w:r>
              <w:rPr/>
              <w:t> </w:t>
            </w:r>
          </w:p>
        </w:tc>
      </w:tr>
      <w:tr>
        <w:trPr/>
        <w:tc>
          <w:tcPr>
            <w:tcW w:w="60" w:type="dxa"/>
            <w:tcBorders/>
          </w:tcPr>
          <w:p>
            <w:pPr>
              <w:pStyle w:val="TableContents"/>
              <w:bidi w:val="0"/>
              <w:spacing w:before="0" w:after="283"/>
              <w:jc w:val="left"/>
              <w:rPr/>
            </w:pPr>
            <w:r>
              <w:rPr/>
              <w:t> </w:t>
            </w:r>
          </w:p>
        </w:tc>
        <w:tc>
          <w:tcPr>
            <w:tcW w:w="3724" w:type="dxa"/>
            <w:gridSpan w:val="2"/>
            <w:tcBorders/>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r>
      <w:tr>
        <w:trPr/>
        <w:tc>
          <w:tcPr>
            <w:tcW w:w="60" w:type="dxa"/>
            <w:tcBorders/>
          </w:tcPr>
          <w:p>
            <w:pPr>
              <w:pStyle w:val="TableContents"/>
              <w:bidi w:val="0"/>
              <w:spacing w:before="0" w:after="283"/>
              <w:jc w:val="left"/>
              <w:rPr/>
            </w:pPr>
            <w:r>
              <w:rPr/>
              <w:t> </w:t>
            </w:r>
          </w:p>
        </w:tc>
        <w:tc>
          <w:tcPr>
            <w:tcW w:w="3724" w:type="dxa"/>
            <w:gridSpan w:val="2"/>
            <w:tcBorders/>
          </w:tcPr>
          <w:p>
            <w:pPr>
              <w:pStyle w:val="TableContents"/>
              <w:bidi w:val="0"/>
              <w:spacing w:before="0" w:after="283"/>
              <w:jc w:val="left"/>
              <w:rPr/>
            </w:pPr>
            <w:r>
              <w:rPr/>
              <w:t>UHS MERGER SUBSIDIARY, INC.</w:t>
            </w:r>
          </w:p>
        </w:tc>
        <w:tc>
          <w:tcPr>
            <w:tcW w:w="60" w:type="dxa"/>
            <w:tcBorders/>
          </w:tcPr>
          <w:p>
            <w:pPr>
              <w:pStyle w:val="TableContents"/>
              <w:bidi w:val="0"/>
              <w:spacing w:before="0" w:after="283"/>
              <w:jc w:val="left"/>
              <w:rPr/>
            </w:pPr>
            <w:r>
              <w:rPr/>
              <w:t> </w:t>
            </w:r>
          </w:p>
        </w:tc>
      </w:tr>
      <w:tr>
        <w:trPr/>
        <w:tc>
          <w:tcPr>
            <w:tcW w:w="60" w:type="dxa"/>
            <w:tcBorders/>
          </w:tcPr>
          <w:p>
            <w:pPr>
              <w:pStyle w:val="TableContents"/>
              <w:bidi w:val="0"/>
              <w:spacing w:before="0" w:after="283"/>
              <w:jc w:val="left"/>
              <w:rPr/>
            </w:pPr>
            <w:r>
              <w:rPr/>
              <w:t> </w:t>
            </w:r>
          </w:p>
        </w:tc>
        <w:tc>
          <w:tcPr>
            <w:tcW w:w="618" w:type="dxa"/>
            <w:tcBorders/>
          </w:tcPr>
          <w:p>
            <w:pPr>
              <w:pStyle w:val="TableContents"/>
              <w:bidi w:val="0"/>
              <w:spacing w:before="0" w:after="283"/>
              <w:jc w:val="left"/>
              <w:rPr/>
            </w:pPr>
            <w:r>
              <w:rPr/>
              <w:t> </w:t>
            </w:r>
          </w:p>
        </w:tc>
        <w:tc>
          <w:tcPr>
            <w:tcW w:w="3106" w:type="dxa"/>
            <w:tcBorders/>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r>
      <w:tr>
        <w:trPr/>
        <w:tc>
          <w:tcPr>
            <w:tcW w:w="60" w:type="dxa"/>
            <w:tcBorders/>
          </w:tcPr>
          <w:p>
            <w:pPr>
              <w:pStyle w:val="TableContents"/>
              <w:bidi w:val="0"/>
              <w:spacing w:before="0" w:after="0"/>
              <w:ind w:left="0" w:right="0" w:hanging="0"/>
              <w:jc w:val="left"/>
              <w:rPr/>
            </w:pPr>
            <w:r>
              <w:rPr/>
            </w:r>
          </w:p>
        </w:tc>
        <w:tc>
          <w:tcPr>
            <w:tcW w:w="618" w:type="dxa"/>
            <w:tcBorders/>
          </w:tcPr>
          <w:p>
            <w:pPr>
              <w:pStyle w:val="TableContents"/>
              <w:bidi w:val="0"/>
              <w:spacing w:before="0" w:after="0"/>
              <w:ind w:left="0" w:right="0" w:hanging="0"/>
              <w:jc w:val="left"/>
              <w:rPr/>
            </w:pPr>
            <w:r>
              <w:rPr/>
              <w:t xml:space="preserve">By: </w:t>
            </w:r>
          </w:p>
        </w:tc>
        <w:tc>
          <w:tcPr>
            <w:tcW w:w="3106" w:type="dxa"/>
            <w:tcBorders>
              <w:bottom w:val="single" w:sz="12" w:space="0" w:color="000000"/>
            </w:tcBorders>
            <w:tcMar>
              <w:bottom w:w="28" w:type="dxa"/>
            </w:tcMar>
          </w:tcPr>
          <w:p>
            <w:pPr>
              <w:pStyle w:val="TableContents"/>
              <w:bidi w:val="0"/>
              <w:spacing w:before="0" w:after="283"/>
              <w:jc w:val="left"/>
              <w:rPr/>
            </w:pPr>
            <w:r>
              <w:rPr/>
              <w:t xml:space="preserve">/s/ Steve Filton </w:t>
            </w:r>
          </w:p>
        </w:tc>
        <w:tc>
          <w:tcPr>
            <w:tcW w:w="60" w:type="dxa"/>
            <w:tcBorders/>
          </w:tcPr>
          <w:p>
            <w:pPr>
              <w:pStyle w:val="TableContents"/>
              <w:bidi w:val="0"/>
              <w:spacing w:before="0" w:after="283"/>
              <w:jc w:val="left"/>
              <w:rPr/>
            </w:pPr>
            <w:r>
              <w:rPr/>
              <w:t> </w:t>
            </w:r>
          </w:p>
        </w:tc>
      </w:tr>
      <w:tr>
        <w:trPr/>
        <w:tc>
          <w:tcPr>
            <w:tcW w:w="60" w:type="dxa"/>
            <w:tcBorders/>
          </w:tcPr>
          <w:p>
            <w:pPr>
              <w:pStyle w:val="TableContents"/>
              <w:bidi w:val="0"/>
              <w:spacing w:before="0" w:after="283"/>
              <w:jc w:val="left"/>
              <w:rPr/>
            </w:pPr>
            <w:r>
              <w:rPr/>
              <w:t> </w:t>
            </w:r>
          </w:p>
        </w:tc>
        <w:tc>
          <w:tcPr>
            <w:tcW w:w="618" w:type="dxa"/>
            <w:tcBorders/>
          </w:tcPr>
          <w:p>
            <w:pPr>
              <w:pStyle w:val="TableContents"/>
              <w:bidi w:val="0"/>
              <w:spacing w:before="0" w:after="283"/>
              <w:jc w:val="left"/>
              <w:rPr/>
            </w:pPr>
            <w:r>
              <w:rPr/>
              <w:t> </w:t>
            </w:r>
          </w:p>
        </w:tc>
        <w:tc>
          <w:tcPr>
            <w:tcW w:w="3106" w:type="dxa"/>
            <w:tcBorders/>
            <w:vAlign w:val="bottom"/>
          </w:tcPr>
          <w:p>
            <w:pPr>
              <w:pStyle w:val="TableContents"/>
              <w:bidi w:val="0"/>
              <w:spacing w:before="0" w:after="283"/>
              <w:jc w:val="left"/>
              <w:rPr/>
            </w:pPr>
            <w:r>
              <w:rPr/>
              <w:t>Name:  Steve Filton</w:t>
            </w:r>
          </w:p>
        </w:tc>
        <w:tc>
          <w:tcPr>
            <w:tcW w:w="60" w:type="dxa"/>
            <w:tcBorders/>
          </w:tcPr>
          <w:p>
            <w:pPr>
              <w:pStyle w:val="TableContents"/>
              <w:bidi w:val="0"/>
              <w:spacing w:before="0" w:after="283"/>
              <w:jc w:val="left"/>
              <w:rPr/>
            </w:pPr>
            <w:r>
              <w:rPr/>
              <w:t> </w:t>
            </w:r>
          </w:p>
        </w:tc>
      </w:tr>
      <w:tr>
        <w:trPr/>
        <w:tc>
          <w:tcPr>
            <w:tcW w:w="60" w:type="dxa"/>
            <w:tcBorders/>
          </w:tcPr>
          <w:p>
            <w:pPr>
              <w:pStyle w:val="TableContents"/>
              <w:bidi w:val="0"/>
              <w:spacing w:before="0" w:after="283"/>
              <w:jc w:val="left"/>
              <w:rPr/>
            </w:pPr>
            <w:r>
              <w:rPr/>
              <w:t> </w:t>
            </w:r>
          </w:p>
        </w:tc>
        <w:tc>
          <w:tcPr>
            <w:tcW w:w="618" w:type="dxa"/>
            <w:tcBorders/>
          </w:tcPr>
          <w:p>
            <w:pPr>
              <w:pStyle w:val="TableContents"/>
              <w:bidi w:val="0"/>
              <w:spacing w:before="0" w:after="283"/>
              <w:jc w:val="left"/>
              <w:rPr/>
            </w:pPr>
            <w:r>
              <w:rPr/>
              <w:t> </w:t>
            </w:r>
          </w:p>
        </w:tc>
        <w:tc>
          <w:tcPr>
            <w:tcW w:w="3106" w:type="dxa"/>
            <w:tcBorders/>
          </w:tcPr>
          <w:p>
            <w:pPr>
              <w:pStyle w:val="TableContents"/>
              <w:bidi w:val="0"/>
              <w:spacing w:before="0" w:after="283"/>
              <w:jc w:val="left"/>
              <w:rPr/>
            </w:pPr>
            <w:r>
              <w:rPr/>
              <w:t>Title:    Vice President</w:t>
            </w:r>
          </w:p>
        </w:tc>
        <w:tc>
          <w:tcPr>
            <w:tcW w:w="60" w:type="dxa"/>
            <w:tcBorders/>
          </w:tcPr>
          <w:p>
            <w:pPr>
              <w:pStyle w:val="TableContents"/>
              <w:bidi w:val="0"/>
              <w:spacing w:before="0" w:after="283"/>
              <w:jc w:val="left"/>
              <w:rPr/>
            </w:pPr>
            <w:r>
              <w:rPr/>
              <w:t> </w:t>
            </w:r>
          </w:p>
        </w:tc>
      </w:tr>
      <w:tr>
        <w:trPr/>
        <w:tc>
          <w:tcPr>
            <w:tcW w:w="60" w:type="dxa"/>
            <w:tcBorders/>
          </w:tcPr>
          <w:p>
            <w:pPr>
              <w:pStyle w:val="TableContents"/>
              <w:bidi w:val="0"/>
              <w:spacing w:before="0" w:after="283"/>
              <w:jc w:val="left"/>
              <w:rPr/>
            </w:pPr>
            <w:r>
              <w:rPr/>
              <w:t> </w:t>
            </w:r>
          </w:p>
        </w:tc>
        <w:tc>
          <w:tcPr>
            <w:tcW w:w="618" w:type="dxa"/>
            <w:tcBorders/>
          </w:tcPr>
          <w:p>
            <w:pPr>
              <w:pStyle w:val="TableContents"/>
              <w:bidi w:val="0"/>
              <w:spacing w:before="0" w:after="283"/>
              <w:jc w:val="left"/>
              <w:rPr/>
            </w:pPr>
            <w:r>
              <w:rPr/>
              <w:t> </w:t>
            </w:r>
          </w:p>
        </w:tc>
        <w:tc>
          <w:tcPr>
            <w:tcW w:w="3106" w:type="dxa"/>
            <w:tcBorders/>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[Signature Page to Agreement and Plan of Merger]</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IN WITNESS WHEREOF, the parties hereto have caused this Agreement to be duly executed and delivered as of the date first above written.</w:t>
      </w:r>
    </w:p>
    <w:p>
      <w:pPr>
        <w:pStyle w:val="TextBody"/>
        <w:bidi w:val="0"/>
        <w:spacing w:before="0" w:after="0"/>
        <w:jc w:val="left"/>
        <w:rPr/>
      </w:pPr>
      <w:r>
        <w:rPr/>
      </w:r>
    </w:p>
    <w:tbl>
      <w:tblPr>
        <w:tblW w:w="3565" w:type="dxa"/>
        <w:jc w:val="left"/>
        <w:tblInd w:w="0" w:type="dxa"/>
        <w:tblLayout w:type="fixed"/>
        <w:tblCellMar>
          <w:top w:w="0" w:type="dxa"/>
          <w:left w:w="0" w:type="dxa"/>
          <w:bottom w:w="0" w:type="dxa"/>
          <w:right w:w="0" w:type="dxa"/>
        </w:tblCellMar>
      </w:tblPr>
      <w:tblGrid>
        <w:gridCol w:w="60"/>
        <w:gridCol w:w="425"/>
        <w:gridCol w:w="3020"/>
        <w:gridCol w:w="60"/>
      </w:tblGrid>
      <w:tr>
        <w:trPr/>
        <w:tc>
          <w:tcPr>
            <w:tcW w:w="60" w:type="dxa"/>
            <w:tcBorders/>
          </w:tcPr>
          <w:p>
            <w:pPr>
              <w:pStyle w:val="TableContents"/>
              <w:bidi w:val="0"/>
              <w:spacing w:before="0" w:after="283"/>
              <w:jc w:val="left"/>
              <w:rPr/>
            </w:pPr>
            <w:r>
              <w:rPr/>
              <w:t> </w:t>
            </w:r>
          </w:p>
        </w:tc>
        <w:tc>
          <w:tcPr>
            <w:tcW w:w="3445" w:type="dxa"/>
            <w:gridSpan w:val="2"/>
            <w:tcBorders/>
          </w:tcPr>
          <w:p>
            <w:pPr>
              <w:pStyle w:val="TableContents"/>
              <w:bidi w:val="0"/>
              <w:spacing w:before="0" w:after="283"/>
              <w:jc w:val="left"/>
              <w:rPr/>
            </w:pPr>
            <w:r>
              <w:rPr/>
              <w:t>TALKSPACE, INC.</w:t>
            </w:r>
          </w:p>
        </w:tc>
        <w:tc>
          <w:tcPr>
            <w:tcW w:w="60" w:type="dxa"/>
            <w:tcBorders/>
          </w:tcPr>
          <w:p>
            <w:pPr>
              <w:pStyle w:val="TableContents"/>
              <w:bidi w:val="0"/>
              <w:spacing w:before="0" w:after="283"/>
              <w:jc w:val="left"/>
              <w:rPr/>
            </w:pPr>
            <w:r>
              <w:rPr/>
              <w:t> </w:t>
            </w:r>
          </w:p>
        </w:tc>
      </w:tr>
      <w:tr>
        <w:trPr/>
        <w:tc>
          <w:tcPr>
            <w:tcW w:w="60" w:type="dxa"/>
            <w:tcBorders/>
          </w:tcPr>
          <w:p>
            <w:pPr>
              <w:pStyle w:val="TableContents"/>
              <w:bidi w:val="0"/>
              <w:spacing w:before="0" w:after="283"/>
              <w:jc w:val="left"/>
              <w:rPr/>
            </w:pPr>
            <w:r>
              <w:rPr/>
              <w:t> </w:t>
            </w:r>
          </w:p>
        </w:tc>
        <w:tc>
          <w:tcPr>
            <w:tcW w:w="425" w:type="dxa"/>
            <w:tcBorders/>
          </w:tcPr>
          <w:p>
            <w:pPr>
              <w:pStyle w:val="TableContents"/>
              <w:bidi w:val="0"/>
              <w:spacing w:before="0" w:after="283"/>
              <w:jc w:val="left"/>
              <w:rPr/>
            </w:pPr>
            <w:r>
              <w:rPr/>
              <w:t> </w:t>
            </w:r>
          </w:p>
        </w:tc>
        <w:tc>
          <w:tcPr>
            <w:tcW w:w="3020" w:type="dxa"/>
            <w:tcBorders/>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r>
      <w:tr>
        <w:trPr/>
        <w:tc>
          <w:tcPr>
            <w:tcW w:w="60" w:type="dxa"/>
            <w:tcBorders/>
          </w:tcPr>
          <w:p>
            <w:pPr>
              <w:pStyle w:val="TableContents"/>
              <w:bidi w:val="0"/>
              <w:spacing w:before="0" w:after="0"/>
              <w:ind w:left="0" w:right="0" w:hanging="0"/>
              <w:jc w:val="left"/>
              <w:rPr/>
            </w:pPr>
            <w:r>
              <w:rPr/>
            </w:r>
          </w:p>
        </w:tc>
        <w:tc>
          <w:tcPr>
            <w:tcW w:w="425" w:type="dxa"/>
            <w:tcBorders/>
          </w:tcPr>
          <w:p>
            <w:pPr>
              <w:pStyle w:val="TableContents"/>
              <w:bidi w:val="0"/>
              <w:spacing w:before="0" w:after="0"/>
              <w:ind w:left="0" w:right="0" w:hanging="0"/>
              <w:jc w:val="left"/>
              <w:rPr/>
            </w:pPr>
            <w:r>
              <w:rPr/>
              <w:t xml:space="preserve">By: </w:t>
            </w:r>
          </w:p>
        </w:tc>
        <w:tc>
          <w:tcPr>
            <w:tcW w:w="3020" w:type="dxa"/>
            <w:tcBorders>
              <w:bottom w:val="single" w:sz="12" w:space="0" w:color="000000"/>
            </w:tcBorders>
            <w:tcMar>
              <w:bottom w:w="28" w:type="dxa"/>
            </w:tcMar>
          </w:tcPr>
          <w:p>
            <w:pPr>
              <w:pStyle w:val="TableContents"/>
              <w:bidi w:val="0"/>
              <w:spacing w:before="0" w:after="283"/>
              <w:jc w:val="left"/>
              <w:rPr/>
            </w:pPr>
            <w:r>
              <w:rPr/>
              <w:t>/s/ Jon R. Cohen</w:t>
            </w:r>
          </w:p>
        </w:tc>
        <w:tc>
          <w:tcPr>
            <w:tcW w:w="60" w:type="dxa"/>
            <w:tcBorders/>
          </w:tcPr>
          <w:p>
            <w:pPr>
              <w:pStyle w:val="TableContents"/>
              <w:bidi w:val="0"/>
              <w:spacing w:before="0" w:after="283"/>
              <w:jc w:val="left"/>
              <w:rPr/>
            </w:pPr>
            <w:r>
              <w:rPr/>
              <w:t> </w:t>
            </w:r>
          </w:p>
        </w:tc>
      </w:tr>
      <w:tr>
        <w:trPr/>
        <w:tc>
          <w:tcPr>
            <w:tcW w:w="60" w:type="dxa"/>
            <w:tcBorders/>
          </w:tcPr>
          <w:p>
            <w:pPr>
              <w:pStyle w:val="TableContents"/>
              <w:bidi w:val="0"/>
              <w:spacing w:before="0" w:after="283"/>
              <w:jc w:val="left"/>
              <w:rPr/>
            </w:pPr>
            <w:r>
              <w:rPr/>
              <w:t> </w:t>
            </w:r>
          </w:p>
        </w:tc>
        <w:tc>
          <w:tcPr>
            <w:tcW w:w="425" w:type="dxa"/>
            <w:tcBorders/>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pPr>
            <w:r>
              <w:rPr/>
              <w:t>Name:  Jon R. Cohen</w:t>
            </w:r>
          </w:p>
        </w:tc>
        <w:tc>
          <w:tcPr>
            <w:tcW w:w="60" w:type="dxa"/>
            <w:tcBorders/>
          </w:tcPr>
          <w:p>
            <w:pPr>
              <w:pStyle w:val="TableContents"/>
              <w:bidi w:val="0"/>
              <w:spacing w:before="0" w:after="283"/>
              <w:jc w:val="left"/>
              <w:rPr/>
            </w:pPr>
            <w:r>
              <w:rPr/>
              <w:t> </w:t>
            </w:r>
          </w:p>
        </w:tc>
      </w:tr>
      <w:tr>
        <w:trPr/>
        <w:tc>
          <w:tcPr>
            <w:tcW w:w="60" w:type="dxa"/>
            <w:tcBorders/>
          </w:tcPr>
          <w:p>
            <w:pPr>
              <w:pStyle w:val="TableContents"/>
              <w:bidi w:val="0"/>
              <w:spacing w:before="0" w:after="283"/>
              <w:jc w:val="left"/>
              <w:rPr/>
            </w:pPr>
            <w:r>
              <w:rPr/>
              <w:t> </w:t>
            </w:r>
          </w:p>
        </w:tc>
        <w:tc>
          <w:tcPr>
            <w:tcW w:w="425" w:type="dxa"/>
            <w:tcBorders/>
          </w:tcPr>
          <w:p>
            <w:pPr>
              <w:pStyle w:val="TableContents"/>
              <w:bidi w:val="0"/>
              <w:spacing w:before="0" w:after="283"/>
              <w:jc w:val="left"/>
              <w:rPr/>
            </w:pPr>
            <w:r>
              <w:rPr/>
              <w:t> </w:t>
            </w:r>
          </w:p>
        </w:tc>
        <w:tc>
          <w:tcPr>
            <w:tcW w:w="3020" w:type="dxa"/>
            <w:tcBorders/>
          </w:tcPr>
          <w:p>
            <w:pPr>
              <w:pStyle w:val="TableContents"/>
              <w:bidi w:val="0"/>
              <w:spacing w:before="0" w:after="283"/>
              <w:jc w:val="left"/>
              <w:rPr/>
            </w:pPr>
            <w:r>
              <w:rPr/>
              <w:t>Title:    Chief Executive Officer</w:t>
            </w:r>
          </w:p>
        </w:tc>
        <w:tc>
          <w:tcPr>
            <w:tcW w:w="60" w:type="dxa"/>
            <w:tcBorders/>
          </w:tcPr>
          <w:p>
            <w:pPr>
              <w:pStyle w:val="TableContents"/>
              <w:bidi w:val="0"/>
              <w:spacing w:before="0" w:after="283"/>
              <w:jc w:val="left"/>
              <w:rPr/>
            </w:pPr>
            <w:r>
              <w:rPr/>
              <w:t> </w:t>
            </w:r>
          </w:p>
        </w:tc>
      </w:tr>
      <w:tr>
        <w:trPr/>
        <w:tc>
          <w:tcPr>
            <w:tcW w:w="60" w:type="dxa"/>
            <w:tcBorders/>
          </w:tcPr>
          <w:p>
            <w:pPr>
              <w:pStyle w:val="TableContents"/>
              <w:bidi w:val="0"/>
              <w:spacing w:before="0" w:after="283"/>
              <w:jc w:val="left"/>
              <w:rPr/>
            </w:pPr>
            <w:r>
              <w:rPr/>
              <w:t> </w:t>
            </w:r>
          </w:p>
        </w:tc>
        <w:tc>
          <w:tcPr>
            <w:tcW w:w="425" w:type="dxa"/>
            <w:tcBorders/>
          </w:tcPr>
          <w:p>
            <w:pPr>
              <w:pStyle w:val="TableContents"/>
              <w:bidi w:val="0"/>
              <w:spacing w:before="0" w:after="283"/>
              <w:jc w:val="left"/>
              <w:rPr/>
            </w:pPr>
            <w:r>
              <w:rPr/>
              <w:t> </w:t>
            </w:r>
          </w:p>
        </w:tc>
        <w:tc>
          <w:tcPr>
            <w:tcW w:w="3020" w:type="dxa"/>
            <w:tcBorders/>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[Signature Page to Agreement and Plan of Merger]</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Exhibit A</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Form of Certificate of Incorporation of the Surviving Corporation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See attached.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A-1</w:t>
      </w:r>
    </w:p>
    <w:p>
      <w:pPr>
        <w:pStyle w:val="TextBody"/>
        <w:bidi w:val="0"/>
        <w:jc w:val="center"/>
        <w:rPr/>
      </w:pPr>
      <w:r>
        <w:rPr/>
      </w:r>
    </w:p>
    <w:p>
      <w:pPr>
        <w:pStyle w:val="TextBody"/>
        <w:bidi w:val="0"/>
        <w:spacing w:before="0" w:after="0"/>
        <w:jc w:val="left"/>
        <w:rPr/>
      </w:pPr>
      <w:r>
        <w:rPr/>
      </w:r>
      <w:bookmarkStart w:id="16" w:name="ex99-1.htm"/>
      <w:bookmarkStart w:id="17" w:name="ksex991"/>
      <w:bookmarkStart w:id="18" w:name="ex99-1.htm"/>
      <w:bookmarkStart w:id="19" w:name="ksex991"/>
      <w:bookmarkEnd w:id="18"/>
      <w:bookmarkEnd w:id="19"/>
      <w:r>
        <w:br w:type="page"/>
      </w:r>
    </w:p>
    <w:p>
      <w:pPr>
        <w:pStyle w:val="TextBody"/>
        <w:bidi w:val="0"/>
        <w:spacing w:before="0" w:after="0"/>
        <w:jc w:val="right"/>
        <w:rPr>
          <w:rFonts w:ascii="Times New Roman" w:hAnsi="Times New Roman"/>
          <w:color w:val="000000"/>
          <w:sz w:val="20"/>
        </w:rPr>
      </w:pPr>
      <w:r>
        <w:rPr>
          <w:rFonts w:ascii="Times New Roman" w:hAnsi="Times New Roman"/>
          <w:b/>
          <w:color w:val="000000"/>
          <w:sz w:val="20"/>
        </w:rPr>
        <w:t>Exhibit 99.1</w:t>
      </w:r>
      <w:r>
        <w:rPr>
          <w:rFonts w:ascii="Times New Roman" w:hAnsi="Times New Roman"/>
          <w:color w:val="000000"/>
          <w:sz w:val="20"/>
        </w:rPr>
        <w:t xml:space="preserve"> </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VOTING AGREEMENT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THIS</w:t>
      </w:r>
      <w:r>
        <w:rPr>
          <w:rFonts w:ascii="Times New Roman" w:hAnsi="Times New Roman"/>
          <w:color w:val="000000"/>
          <w:sz w:val="20"/>
        </w:rPr>
        <w:t> </w:t>
      </w:r>
      <w:r>
        <w:rPr>
          <w:rFonts w:ascii="Times New Roman" w:hAnsi="Times New Roman"/>
          <w:b/>
          <w:color w:val="000000"/>
          <w:sz w:val="20"/>
        </w:rPr>
        <w:t xml:space="preserve">VOTING AGREEMENT </w:t>
      </w:r>
      <w:r>
        <w:rPr>
          <w:rFonts w:ascii="Times New Roman" w:hAnsi="Times New Roman"/>
          <w:color w:val="000000"/>
          <w:sz w:val="20"/>
        </w:rPr>
        <w:t>(this “</w:t>
      </w:r>
      <w:r>
        <w:rPr>
          <w:rFonts w:ascii="Times New Roman" w:hAnsi="Times New Roman"/>
          <w:color w:val="000000"/>
          <w:sz w:val="20"/>
          <w:u w:val="single"/>
        </w:rPr>
        <w:t>Agreement</w:t>
      </w:r>
      <w:r>
        <w:rPr>
          <w:rFonts w:ascii="Times New Roman" w:hAnsi="Times New Roman"/>
          <w:color w:val="000000"/>
          <w:sz w:val="20"/>
        </w:rPr>
        <w:t>”), dated as of March 9, 2026, is entered into by and among Universal Health Services, Inc., a Delaware corporation (“</w:t>
      </w:r>
      <w:r>
        <w:rPr>
          <w:rFonts w:ascii="Times New Roman" w:hAnsi="Times New Roman"/>
          <w:color w:val="000000"/>
          <w:sz w:val="20"/>
          <w:u w:val="single"/>
        </w:rPr>
        <w:t>Parent</w:t>
      </w:r>
      <w:r>
        <w:rPr>
          <w:rFonts w:ascii="Times New Roman" w:hAnsi="Times New Roman"/>
          <w:color w:val="000000"/>
          <w:sz w:val="20"/>
        </w:rPr>
        <w:t>”), and the Persons executing this Agreement as “</w:t>
      </w:r>
      <w:r>
        <w:rPr>
          <w:rFonts w:ascii="Times New Roman" w:hAnsi="Times New Roman"/>
          <w:color w:val="000000"/>
          <w:sz w:val="20"/>
          <w:u w:val="single"/>
        </w:rPr>
        <w:t>Holders</w:t>
      </w:r>
      <w:r>
        <w:rPr>
          <w:rFonts w:ascii="Times New Roman" w:hAnsi="Times New Roman"/>
          <w:color w:val="000000"/>
          <w:sz w:val="20"/>
        </w:rPr>
        <w:t>” on the signature pages hereto (each, a “</w:t>
      </w:r>
      <w:r>
        <w:rPr>
          <w:rFonts w:ascii="Times New Roman" w:hAnsi="Times New Roman"/>
          <w:color w:val="000000"/>
          <w:sz w:val="20"/>
          <w:u w:val="single"/>
        </w:rPr>
        <w:t>Holder</w:t>
      </w:r>
      <w:r>
        <w:rPr>
          <w:rFonts w:ascii="Times New Roman" w:hAnsi="Times New Roman"/>
          <w:color w:val="000000"/>
          <w:sz w:val="20"/>
        </w:rPr>
        <w:t>” and collectively, the “</w:t>
      </w:r>
      <w:r>
        <w:rPr>
          <w:rFonts w:ascii="Times New Roman" w:hAnsi="Times New Roman"/>
          <w:color w:val="000000"/>
          <w:sz w:val="20"/>
          <w:u w:val="single"/>
        </w:rPr>
        <w:t>Holders</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WHEREAS</w:t>
      </w:r>
      <w:r>
        <w:rPr>
          <w:rFonts w:ascii="Times New Roman" w:hAnsi="Times New Roman"/>
          <w:color w:val="000000"/>
          <w:sz w:val="20"/>
        </w:rPr>
        <w:t>, concurrently with the execution and delivery of this Agreement, Parent, UHS Merger Subsidiary, Inc., a Delaware corporation and a wholly owned Subsidiary of Parent (“</w:t>
      </w:r>
      <w:r>
        <w:rPr>
          <w:rFonts w:ascii="Times New Roman" w:hAnsi="Times New Roman"/>
          <w:color w:val="000000"/>
          <w:sz w:val="20"/>
          <w:u w:val="single"/>
        </w:rPr>
        <w:t>Merger Sub</w:t>
      </w:r>
      <w:r>
        <w:rPr>
          <w:rFonts w:ascii="Times New Roman" w:hAnsi="Times New Roman"/>
          <w:color w:val="000000"/>
          <w:sz w:val="20"/>
        </w:rPr>
        <w:t>”), and Talkspace, Inc., a Delaware corporation (the “</w:t>
      </w:r>
      <w:r>
        <w:rPr>
          <w:rFonts w:ascii="Times New Roman" w:hAnsi="Times New Roman"/>
          <w:color w:val="000000"/>
          <w:sz w:val="20"/>
          <w:u w:val="single"/>
        </w:rPr>
        <w:t>Company</w:t>
      </w:r>
      <w:r>
        <w:rPr>
          <w:rFonts w:ascii="Times New Roman" w:hAnsi="Times New Roman"/>
          <w:color w:val="000000"/>
          <w:sz w:val="20"/>
        </w:rPr>
        <w:t>”), are entering into an Agreement and Plan of Merger (as the same may be amended or supplemented from time to time, the “</w:t>
      </w:r>
      <w:r>
        <w:rPr>
          <w:rFonts w:ascii="Times New Roman" w:hAnsi="Times New Roman"/>
          <w:color w:val="000000"/>
          <w:sz w:val="20"/>
          <w:u w:val="single"/>
        </w:rPr>
        <w:t>Merger Agreement</w:t>
      </w:r>
      <w:r>
        <w:rPr>
          <w:rFonts w:ascii="Times New Roman" w:hAnsi="Times New Roman"/>
          <w:color w:val="000000"/>
          <w:sz w:val="20"/>
        </w:rPr>
        <w:t>”), providing for, among other things, the merger of Merger Sub with and into the Company, with the Company surviving such merger (the “</w:t>
      </w:r>
      <w:r>
        <w:rPr>
          <w:rFonts w:ascii="Times New Roman" w:hAnsi="Times New Roman"/>
          <w:color w:val="000000"/>
          <w:sz w:val="20"/>
          <w:u w:val="single"/>
        </w:rPr>
        <w:t>Merger</w:t>
      </w:r>
      <w:r>
        <w:rPr>
          <w:rFonts w:ascii="Times New Roman" w:hAnsi="Times New Roman"/>
          <w:color w:val="000000"/>
          <w:sz w:val="20"/>
        </w:rPr>
        <w:t xml:space="preserve">”); </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WHEREAS</w:t>
      </w:r>
      <w:r>
        <w:rPr>
          <w:rFonts w:ascii="Times New Roman" w:hAnsi="Times New Roman"/>
          <w:color w:val="000000"/>
          <w:sz w:val="20"/>
        </w:rPr>
        <w:t xml:space="preserve">, as of the date hereof, each Holder is the record or “beneficial owner” (within the meaning of Rule 13d-3 under the Exchange Act) of, and is entitled to dispose and vote, the number of shares of (a) Company Common Stock and (b) other securities (including Company Warrants) convertible into, or exercisable or exchangeable for, shares of Company Common Stock (such shares described in the foregoing </w:t>
      </w:r>
      <w:r>
        <w:rPr>
          <w:rFonts w:ascii="Times New Roman" w:hAnsi="Times New Roman"/>
          <w:color w:val="000000"/>
          <w:sz w:val="20"/>
          <w:u w:val="single"/>
        </w:rPr>
        <w:t>clauses (a)</w:t>
      </w:r>
      <w:r>
        <w:rPr>
          <w:rFonts w:ascii="Times New Roman" w:hAnsi="Times New Roman"/>
          <w:color w:val="000000"/>
          <w:sz w:val="20"/>
        </w:rPr>
        <w:t xml:space="preserve"> and </w:t>
      </w:r>
      <w:r>
        <w:rPr>
          <w:rFonts w:ascii="Times New Roman" w:hAnsi="Times New Roman"/>
          <w:color w:val="000000"/>
          <w:sz w:val="20"/>
          <w:u w:val="single"/>
        </w:rPr>
        <w:t>(b)</w:t>
      </w:r>
      <w:r>
        <w:rPr>
          <w:rFonts w:ascii="Times New Roman" w:hAnsi="Times New Roman"/>
          <w:color w:val="000000"/>
          <w:sz w:val="20"/>
        </w:rPr>
        <w:t>, the “</w:t>
      </w:r>
      <w:r>
        <w:rPr>
          <w:rFonts w:ascii="Times New Roman" w:hAnsi="Times New Roman"/>
          <w:color w:val="000000"/>
          <w:sz w:val="20"/>
          <w:u w:val="single"/>
        </w:rPr>
        <w:t>Shares</w:t>
      </w:r>
      <w:r>
        <w:rPr>
          <w:rFonts w:ascii="Times New Roman" w:hAnsi="Times New Roman"/>
          <w:color w:val="000000"/>
          <w:sz w:val="20"/>
        </w:rPr>
        <w:t xml:space="preserve">”) set forth next to such Holder’s name on </w:t>
      </w:r>
      <w:r>
        <w:rPr>
          <w:rFonts w:ascii="Times New Roman" w:hAnsi="Times New Roman"/>
          <w:color w:val="000000"/>
          <w:sz w:val="20"/>
          <w:u w:val="single"/>
        </w:rPr>
        <w:t>Schedule A</w:t>
      </w:r>
      <w:r>
        <w:rPr>
          <w:rFonts w:ascii="Times New Roman" w:hAnsi="Times New Roman"/>
          <w:color w:val="000000"/>
          <w:sz w:val="20"/>
        </w:rPr>
        <w:t xml:space="preserve"> attached hereto (the “</w:t>
      </w:r>
      <w:r>
        <w:rPr>
          <w:rFonts w:ascii="Times New Roman" w:hAnsi="Times New Roman"/>
          <w:color w:val="000000"/>
          <w:sz w:val="20"/>
          <w:u w:val="single"/>
        </w:rPr>
        <w:t>Existing Shares</w:t>
      </w:r>
      <w:r>
        <w:rPr>
          <w:rFonts w:ascii="Times New Roman" w:hAnsi="Times New Roman"/>
          <w:color w:val="000000"/>
          <w:sz w:val="20"/>
        </w:rPr>
        <w:t>”); and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WHEREAS</w:t>
      </w:r>
      <w:r>
        <w:rPr>
          <w:rFonts w:ascii="Times New Roman" w:hAnsi="Times New Roman"/>
          <w:color w:val="000000"/>
          <w:sz w:val="20"/>
        </w:rPr>
        <w:t>, as a material inducement to Parent to enter into the Merger Agreement, Parent has requested each Holder to agree, and each Holder (in such Holder’s capacity as a record or beneficial owner of the Subject Shares) has agreed, to enter into this Agreement and abide by the covenants and obligations set forth herein with respect to the Subject Shares.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NOW, THEREFORE</w:t>
      </w:r>
      <w:r>
        <w:rPr>
          <w:rFonts w:ascii="Times New Roman" w:hAnsi="Times New Roman"/>
          <w:color w:val="000000"/>
          <w:sz w:val="20"/>
        </w:rPr>
        <w:t>, in consideration of the foregoing and the mutual covenants and agreements herein contained, the parties hereto, intending to be legally bound hereby, agree as follows:</w:t>
      </w:r>
    </w:p>
    <w:p>
      <w:pPr>
        <w:pStyle w:val="TextBody"/>
        <w:bidi w:val="0"/>
        <w:spacing w:before="0" w:after="0"/>
        <w:jc w:val="left"/>
        <w:rPr/>
      </w:pPr>
      <w:r>
        <w:rPr/>
      </w:r>
    </w:p>
    <w:p>
      <w:pPr>
        <w:pStyle w:val="TextBody"/>
        <w:bidi w:val="0"/>
        <w:spacing w:before="0" w:after="0"/>
        <w:jc w:val="center"/>
        <w:rPr>
          <w:rFonts w:ascii="Times New Roman" w:hAnsi="Times New Roman"/>
          <w:color w:val="010000"/>
          <w:sz w:val="20"/>
        </w:rPr>
      </w:pPr>
      <w:r>
        <w:rPr>
          <w:rFonts w:ascii="Times New Roman" w:hAnsi="Times New Roman"/>
          <w:color w:val="010000"/>
          <w:sz w:val="20"/>
        </w:rPr>
        <w:t>ARTICLE I</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u w:val="single"/>
        </w:rPr>
      </w:pPr>
      <w:r>
        <w:rPr>
          <w:rFonts w:ascii="Times New Roman" w:hAnsi="Times New Roman"/>
          <w:color w:val="000000"/>
          <w:sz w:val="20"/>
          <w:u w:val="single"/>
        </w:rPr>
        <w:t>Definitions; Interpretation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1.01</w:t>
      </w:r>
      <w:r>
        <w:rPr>
          <w:rFonts w:ascii="Times New Roman" w:hAnsi="Times New Roman"/>
          <w:color w:val="000000"/>
          <w:sz w:val="20"/>
        </w:rPr>
        <w:t>          </w:t>
      </w:r>
      <w:r>
        <w:rPr>
          <w:rFonts w:ascii="Times New Roman" w:hAnsi="Times New Roman"/>
          <w:color w:val="000000"/>
          <w:sz w:val="20"/>
          <w:u w:val="single"/>
        </w:rPr>
        <w:t>Definitions</w:t>
      </w:r>
      <w:r>
        <w:rPr>
          <w:rFonts w:ascii="Times New Roman" w:hAnsi="Times New Roman"/>
          <w:color w:val="000000"/>
          <w:sz w:val="20"/>
        </w:rPr>
        <w:t>.  The following capitalized terms, as used in this Agreement, shall have the meanings set forth below.  Capitalized terms used but not defined herein shall have the meanings given to such terms in the Merger Agreement.</w:t>
      </w:r>
    </w:p>
    <w:p>
      <w:pPr>
        <w:pStyle w:val="TextBody"/>
        <w:bidi w:val="0"/>
        <w:spacing w:before="0" w:after="0"/>
        <w:jc w:val="left"/>
        <w:rPr/>
      </w:pPr>
      <w:r>
        <w:rPr/>
      </w:r>
    </w:p>
    <w:p>
      <w:pPr>
        <w:pStyle w:val="TextBody"/>
        <w:bidi w:val="0"/>
        <w:spacing w:before="0" w:after="0"/>
        <w:ind w:left="720" w:right="0" w:firstLine="720"/>
        <w:jc w:val="both"/>
        <w:rPr>
          <w:color w:val="000000"/>
        </w:rPr>
      </w:pPr>
      <w:r>
        <w:rPr>
          <w:color w:val="000000"/>
        </w:rPr>
        <w:t>“</w:t>
      </w:r>
      <w:r>
        <w:rPr>
          <w:rFonts w:ascii="Times New Roman" w:hAnsi="Times New Roman"/>
          <w:color w:val="000000"/>
          <w:sz w:val="20"/>
          <w:u w:val="single"/>
        </w:rPr>
        <w:t>New Shares</w:t>
      </w:r>
      <w:r>
        <w:rPr>
          <w:rFonts w:ascii="Times New Roman" w:hAnsi="Times New Roman"/>
          <w:color w:val="000000"/>
          <w:sz w:val="20"/>
        </w:rPr>
        <w:t xml:space="preserve">” means any shares of Company Common Stock that a Holder or its Affiliates purchases or with respect to which a Holder or its Affiliates otherwise acquires record or beneficial ownership of, on or after the date of this Agreement and prior to the valid termination of this Agreement in accordance with </w:t>
      </w:r>
      <w:r>
        <w:rPr>
          <w:rFonts w:ascii="Times New Roman" w:hAnsi="Times New Roman"/>
          <w:color w:val="000000"/>
          <w:sz w:val="20"/>
          <w:u w:val="single"/>
        </w:rPr>
        <w:t>Section 5.13</w:t>
      </w:r>
      <w:r>
        <w:rPr>
          <w:rFonts w:ascii="Times New Roman" w:hAnsi="Times New Roman"/>
          <w:color w:val="000000"/>
          <w:sz w:val="20"/>
        </w:rPr>
        <w:t>, including any shares issued or issuable upon the conversion, vesting, exercise or exchange, as the case may be, of all securities (including Company Warrants) held by a Holder that are convertible into, or exercisable or exchangeable for, shares of Company Common Stock.</w:t>
      </w:r>
    </w:p>
    <w:p>
      <w:pPr>
        <w:pStyle w:val="TextBody"/>
        <w:bidi w:val="0"/>
        <w:spacing w:before="0" w:after="0"/>
        <w:jc w:val="left"/>
        <w:rPr/>
      </w:pPr>
      <w:r>
        <w:rPr/>
      </w:r>
    </w:p>
    <w:p>
      <w:pPr>
        <w:pStyle w:val="TextBody"/>
        <w:bidi w:val="0"/>
        <w:spacing w:before="0" w:after="0"/>
        <w:ind w:left="720" w:right="0" w:firstLine="720"/>
        <w:jc w:val="both"/>
        <w:rPr>
          <w:color w:val="000000"/>
        </w:rPr>
      </w:pPr>
      <w:r>
        <w:rPr>
          <w:color w:val="000000"/>
        </w:rPr>
        <w:t>“</w:t>
      </w:r>
      <w:r>
        <w:rPr>
          <w:rFonts w:ascii="Times New Roman" w:hAnsi="Times New Roman"/>
          <w:color w:val="000000"/>
          <w:sz w:val="20"/>
          <w:u w:val="single"/>
        </w:rPr>
        <w:t>Subject Shares</w:t>
      </w:r>
      <w:r>
        <w:rPr>
          <w:rFonts w:ascii="Times New Roman" w:hAnsi="Times New Roman"/>
          <w:color w:val="000000"/>
          <w:sz w:val="20"/>
        </w:rPr>
        <w:t>” means, collectively, the Existing Shares and the New Shares.</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10000"/>
          <w:sz w:val="20"/>
        </w:rPr>
        <w:t>Section 1.02</w:t>
      </w:r>
      <w:r>
        <w:rPr>
          <w:rFonts w:ascii="Times New Roman" w:hAnsi="Times New Roman"/>
          <w:color w:val="000000"/>
          <w:sz w:val="20"/>
        </w:rPr>
        <w:t>          </w:t>
      </w:r>
      <w:r>
        <w:rPr>
          <w:rFonts w:ascii="Times New Roman" w:hAnsi="Times New Roman"/>
          <w:color w:val="000000"/>
          <w:sz w:val="20"/>
          <w:u w:val="single"/>
        </w:rPr>
        <w:t>Interpretation</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(a)</w:t>
      </w:r>
      <w:r>
        <w:rPr>
          <w:rFonts w:ascii="Times New Roman" w:hAnsi="Times New Roman"/>
          <w:color w:val="000000"/>
          <w:sz w:val="20"/>
        </w:rPr>
        <w:t>          When a reference is made in this Agreement to a Schedule, such reference shall be to a Schedule to this Agreement unless otherwise indicated.  When a reference is made in this Agreement to a Section or Article, such reference shall be to the corresponding Section or Article of this Agreement unless otherwise indicated.  The descriptive headings contained in this Agreement are included for convenience of reference only and will not affect in any way the meaning or interpretation of this Agreement.  Whenever the words “include”, “includes” or “including” are used in this Agreement, they shall be deemed to be followed by the words “without limitation”.  The words “hereof”, “herein”, “hereto” and “hereunder” and words of similar import when used in this Agreement shall refer to this Agreement as a whole and not to any particular provision of this Agreement.  The terms “or”, “any” and “either” are not exclusive.  The word “extent” in the phrase “to the extent” shall mean the degree to which a subject or other thing extends, and such phrase shall not mean simply “if”.  The word “will” shall be construed to have the same meaning and effect as the word “shall”.  The definitions contained in this Agreement are applicable to the singular as well as the plural forms of such terms and to the masculine as well as to the feminine and neuter genders of such term.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Unless otherwise specifically indicated, all references to “dollars” or “$” shall refer to the lawful money of the United States.  References to a Person are also to its permitted assigns and successors.</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(b)</w:t>
      </w:r>
      <w:r>
        <w:rPr>
          <w:rFonts w:ascii="Times New Roman" w:hAnsi="Times New Roman"/>
          <w:color w:val="000000"/>
          <w:sz w:val="20"/>
        </w:rPr>
        <w:t>          The parties hereto have participated jointly in the negotiation and drafting of this Agreement and, in the event an ambiguity or question of intent or interpretation arises, this Agreement shall be construed as jointly drafted by the parties hereto and no presumption or burden of proof shall arise favoring or disfavoring any party hereto by virtue of the authorship of any provision of this Agreement.</w:t>
      </w:r>
    </w:p>
    <w:p>
      <w:pPr>
        <w:pStyle w:val="TextBody"/>
        <w:bidi w:val="0"/>
        <w:spacing w:before="0" w:after="0"/>
        <w:jc w:val="left"/>
        <w:rPr/>
      </w:pPr>
      <w:r>
        <w:rPr/>
      </w:r>
    </w:p>
    <w:p>
      <w:pPr>
        <w:pStyle w:val="TextBody"/>
        <w:bidi w:val="0"/>
        <w:spacing w:before="0" w:after="0"/>
        <w:jc w:val="center"/>
        <w:rPr>
          <w:rFonts w:ascii="Times New Roman" w:hAnsi="Times New Roman"/>
          <w:color w:val="010000"/>
          <w:sz w:val="20"/>
        </w:rPr>
      </w:pPr>
      <w:r>
        <w:rPr>
          <w:rFonts w:ascii="Times New Roman" w:hAnsi="Times New Roman"/>
          <w:color w:val="010000"/>
          <w:sz w:val="20"/>
        </w:rPr>
        <w:t>ARTICLE II</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u w:val="single"/>
        </w:rPr>
      </w:pPr>
      <w:r>
        <w:rPr>
          <w:rFonts w:ascii="Times New Roman" w:hAnsi="Times New Roman"/>
          <w:color w:val="000000"/>
          <w:sz w:val="20"/>
          <w:u w:val="single"/>
        </w:rPr>
        <w:t>Representations and Warranties of Each Holder</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Each Holder hereby represents and warrants, severally and not jointly, to Parent that: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2.01</w:t>
      </w:r>
      <w:r>
        <w:rPr>
          <w:rFonts w:ascii="Times New Roman" w:hAnsi="Times New Roman"/>
          <w:color w:val="000000"/>
          <w:sz w:val="20"/>
        </w:rPr>
        <w:t>          </w:t>
      </w:r>
      <w:r>
        <w:rPr>
          <w:rFonts w:ascii="Times New Roman" w:hAnsi="Times New Roman"/>
          <w:color w:val="000000"/>
          <w:sz w:val="20"/>
          <w:u w:val="single"/>
        </w:rPr>
        <w:t>Organization</w:t>
      </w:r>
      <w:r>
        <w:rPr>
          <w:rFonts w:ascii="Times New Roman" w:hAnsi="Times New Roman"/>
          <w:color w:val="000000"/>
          <w:sz w:val="20"/>
        </w:rPr>
        <w:t>.  If such Holder is not an individual, such Holder is duly formed, organized or incorporated, validly existing and in good standing (where such concept is recognized under applicable Law) under the Laws of the jurisdiction of its formation, organization or incorporation.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2.02</w:t>
      </w:r>
      <w:r>
        <w:rPr>
          <w:rFonts w:ascii="Times New Roman" w:hAnsi="Times New Roman"/>
          <w:color w:val="000000"/>
          <w:sz w:val="20"/>
        </w:rPr>
        <w:t>          </w:t>
      </w:r>
      <w:r>
        <w:rPr>
          <w:rFonts w:ascii="Times New Roman" w:hAnsi="Times New Roman"/>
          <w:color w:val="000000"/>
          <w:sz w:val="20"/>
          <w:u w:val="single"/>
        </w:rPr>
        <w:t>Ownership of Subject Shares</w:t>
      </w:r>
      <w:r>
        <w:rPr>
          <w:rFonts w:ascii="Times New Roman" w:hAnsi="Times New Roman"/>
          <w:color w:val="000000"/>
          <w:sz w:val="20"/>
        </w:rPr>
        <w:t xml:space="preserve">.  Except to the extent any Existing Shares or New Shares are Transferred in accordance with </w:t>
      </w:r>
      <w:r>
        <w:rPr>
          <w:rFonts w:ascii="Times New Roman" w:hAnsi="Times New Roman"/>
          <w:color w:val="000000"/>
          <w:sz w:val="20"/>
          <w:u w:val="single"/>
        </w:rPr>
        <w:t>Section 4.03</w:t>
      </w:r>
      <w:r>
        <w:rPr>
          <w:rFonts w:ascii="Times New Roman" w:hAnsi="Times New Roman"/>
          <w:color w:val="000000"/>
          <w:sz w:val="20"/>
        </w:rPr>
        <w:t>, the Existing Shares are currently and during the term of this Agreement will be, and the New Shares will be, beneficially owned (as defined in Rule 13d-3 promulgated under the Exchange Act) or owned of record by such Holder.  Such Holder is the record or beneficial owner of, and has, with respect to such Holder’s Existing Shares, and will have with respect to such Holder’s New Shares, good and marketable title to, such Holder’s Subject Shares, free and clear of all Encumbrances, except for any Encumbrances as (a) may be created or imposed pursuant to this Agreement, the organizational documents of the Company, or the Securities Act or other applicable securities Laws or (b) expressly contemplated by the Merger Agreement.  Such Holder does not, and will not, legally or beneficially own (within the meaning of Section 13 of the Exchange Act) any Shares or other securities in the Company (or any of the Company’s Subsidiaries) other than the Subject Shares.  Except as contemplated by this Agreement, such Holder has and will have during the term of this Agreement the sole right to vote (including the right to control such vote as contemplated herein) such Holder’s Subject Shares, and no Subject Share of such Holder is subject to any voting trust or other agreement with respect to the voting thereof.  Such Holder has and will have during the term of this Agreement the sole right to dispose of such Holder’s Subject Shares and the sole power to issue instructions with respect to the matters set forth herein, and the sole power to agree to all of the matters set forth in this Agreement, with no restrictions, subject to the Securities Act and other applicable securities Laws, on such Holder’s rights of disposition of such Holder’s Subject Shares.  Except as contemplated by this Agreement, (i) there are no agreements or arrangements of any kind, contingent or otherwise, obligating such Holder to sell, transfer, pledge, assign, exchange, lend, encumber or otherwise dispose of, whether voluntarily, involuntarily, by operation of law or otherwise (collectively, “</w:t>
      </w:r>
      <w:r>
        <w:rPr>
          <w:rFonts w:ascii="Times New Roman" w:hAnsi="Times New Roman"/>
          <w:color w:val="000000"/>
          <w:sz w:val="20"/>
          <w:u w:val="single"/>
        </w:rPr>
        <w:t>Transfer</w:t>
      </w:r>
      <w:r>
        <w:rPr>
          <w:rFonts w:ascii="Times New Roman" w:hAnsi="Times New Roman"/>
          <w:color w:val="000000"/>
          <w:sz w:val="20"/>
        </w:rPr>
        <w:t>”), or cause to be Transferred any such Holder’s Subject Shares or otherwise relating to the Transfer of any such Holder’s Subject Shares and (ii) no Person has any contractual or other right or obligation to purchase or otherwise acquire beneficial ownership of any of such Subject Shares of such Holder.</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2.03</w:t>
      </w:r>
      <w:r>
        <w:rPr>
          <w:rFonts w:ascii="Times New Roman" w:hAnsi="Times New Roman"/>
          <w:color w:val="000000"/>
          <w:sz w:val="20"/>
        </w:rPr>
        <w:t>          </w:t>
      </w:r>
      <w:r>
        <w:rPr>
          <w:rFonts w:ascii="Times New Roman" w:hAnsi="Times New Roman"/>
          <w:color w:val="000000"/>
          <w:sz w:val="20"/>
          <w:u w:val="single"/>
        </w:rPr>
        <w:t>Authority; Execution and Delivery; Enforceability</w:t>
      </w:r>
      <w:r>
        <w:rPr>
          <w:rFonts w:ascii="Times New Roman" w:hAnsi="Times New Roman"/>
          <w:color w:val="000000"/>
          <w:sz w:val="20"/>
        </w:rPr>
        <w:t>.  If such Holder is not an individual, such Holder has all necessary power and authority to execute and deliver this Agreement and to perform such Holder’s obligations hereunder and the execution and delivery by such Holder of this Agreement and the performance by such Holder of such Holder’s obligations hereunder have been duly authorized and approved by all requisite action, and no other action on the part of such Holder is necessary to authorize the execution and delivery of this Agreement or the performance by such Holder of such Holder’s obligations hereunder.  If such Holder is an individual, such Holder has the requisite legal capacity, right and authority to execute and deliver this Agreement and to perform such Holder’s obligations under this Agreement. If such Stockholder is a trust, no consent of any beneficiary is required for the execution and delivery of this Agreement or the consummation of the transactions contemplated hereby.  This Agreement has been duly executed and delivered by such Holder and, assuming due authorization, execution and delivery hereof by Parent, constitutes a legal, valid and binding obligation of such Holder, enforceable against such Holder in accordance with its terms, except as enforcement may be limited by the Bankruptcy and Equity Exception.  If such Holder is married and any of such Holder’s Subject Shares constitute community property or spousal approval is otherwise necessary for this Agreement to be legal, valid, binding and enforceable, this Agreement has been duly executed and delivered by, and, assuming the due authorization, execution and delivery by Parent, constitutes the legal, valid and binding obligation of, such Holder’s spouse, enforceable in accordance with its terms except, in each case, as enforcement may be limited by the Bankruptcy and Equity Exception.</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10000"/>
          <w:sz w:val="20"/>
        </w:rPr>
        <w:t>Section 2.04</w:t>
      </w:r>
      <w:r>
        <w:rPr>
          <w:rFonts w:ascii="Times New Roman" w:hAnsi="Times New Roman"/>
          <w:color w:val="000000"/>
          <w:sz w:val="20"/>
        </w:rPr>
        <w:t>          </w:t>
      </w:r>
      <w:r>
        <w:rPr>
          <w:rFonts w:ascii="Times New Roman" w:hAnsi="Times New Roman"/>
          <w:color w:val="000000"/>
          <w:sz w:val="20"/>
          <w:u w:val="single"/>
        </w:rPr>
        <w:t>No Conflicts; Governmental Approvals</w:t>
      </w:r>
      <w:r>
        <w:rPr>
          <w:rFonts w:ascii="Times New Roman" w:hAnsi="Times New Roman"/>
          <w:color w:val="000000"/>
          <w:sz w:val="20"/>
        </w:rPr>
        <w: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(a)</w:t>
      </w:r>
      <w:r>
        <w:rPr>
          <w:rFonts w:ascii="Times New Roman" w:hAnsi="Times New Roman"/>
          <w:color w:val="000000"/>
          <w:sz w:val="20"/>
        </w:rPr>
        <w:t xml:space="preserve">          Neither the execution and delivery of this Agreement by such Holder, nor the performance or compliance by such Holder with any of the terms or provisions hereof, will (i) if such Holder is not an individual, conflict with or violate any provision of the organizational documents of such Holder or (ii)(A) assuming that the actions described in </w:t>
      </w:r>
      <w:r>
        <w:rPr>
          <w:rFonts w:ascii="Times New Roman" w:hAnsi="Times New Roman"/>
          <w:color w:val="000000"/>
          <w:sz w:val="20"/>
          <w:u w:val="single"/>
        </w:rPr>
        <w:t>Section 2.04(b)</w:t>
      </w:r>
      <w:r>
        <w:rPr>
          <w:rFonts w:ascii="Times New Roman" w:hAnsi="Times New Roman"/>
          <w:color w:val="000000"/>
          <w:sz w:val="20"/>
        </w:rPr>
        <w:t xml:space="preserve"> have been completed prior to or promptly after the Effective Time, violate any Law applicable to such Holder or by which such Holder’s assets or properties are bound or (B) conflict with, result in any breach of or constitute a default (or an event that with notice or lapse of time or both would become a default) under, or give to others any rights of termination, amendment, acceleration or cancellation of, or result in the creation of any encumbrance on the properties or assets of such Holder (including such Holder’s Subject Shares) pursuant to, any note, bond, mortgage, indenture, contract (whether written or oral), agreement, lease, license, permit, franchise or other instrument or obligation to which such Holder is a party or by which such Holder or any of such Holder’s assets or properties is bound, except for any of the foregoing as would not individually or in the aggregate, reasonably be expected to prevent or materially impair or interfere with the ability of such Holder to perform such Holder’s obligations hereunder in any material respect or consummate the transactions contemplated hereby on a timely basis.</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(b)</w:t>
      </w:r>
      <w:r>
        <w:rPr>
          <w:rFonts w:ascii="Times New Roman" w:hAnsi="Times New Roman"/>
          <w:color w:val="000000"/>
          <w:sz w:val="20"/>
        </w:rPr>
        <w:t>          No consent of, or filing, declaration or registration with, any Governmental Authority is necessary for the execution and delivery of this Agreement by such Holder or the performance by such Holder of such Holder’s obligations hereunder, other than filings with the SEC under the Exchange Act and such reports under, and such other compliance with, the Exchange Act and other applicable securities Laws as may be required in connection with this Agreement and the transactions contemplated by this Agreement and the Merger Agreement.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2.05</w:t>
      </w:r>
      <w:r>
        <w:rPr>
          <w:rFonts w:ascii="Times New Roman" w:hAnsi="Times New Roman"/>
          <w:color w:val="000000"/>
          <w:sz w:val="20"/>
        </w:rPr>
        <w:t>          </w:t>
      </w:r>
      <w:r>
        <w:rPr>
          <w:rFonts w:ascii="Times New Roman" w:hAnsi="Times New Roman"/>
          <w:color w:val="000000"/>
          <w:sz w:val="20"/>
          <w:u w:val="single"/>
        </w:rPr>
        <w:t>Litigation</w:t>
      </w:r>
      <w:r>
        <w:rPr>
          <w:rFonts w:ascii="Times New Roman" w:hAnsi="Times New Roman"/>
          <w:color w:val="000000"/>
          <w:sz w:val="20"/>
        </w:rPr>
        <w:t>.  As of the date hereof, there is no pending or, to the knowledge of such Holder, threatened in writing, legal, civil, criminal or administrative Action against such Holder except as would not, individually or in the aggregate, be reasonably expected to prevent or materially impair or interfere with the ability of such Holder to perform such Holder’s obligations hereunder in any material respect or consummate the transactions contemplated hereby on a timely basis.  There is no outstanding Judgment imposed upon such Holder or any of such Holder’s Affiliates except as would not, individually or in the aggregate, be reasonably expected to prevent or materially impair or interfere with the ability of such Holder to perform such Holder’s obligations hereunder in any material respect on a timely basis.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2.06</w:t>
      </w:r>
      <w:r>
        <w:rPr>
          <w:rFonts w:ascii="Times New Roman" w:hAnsi="Times New Roman"/>
          <w:color w:val="000000"/>
          <w:sz w:val="20"/>
        </w:rPr>
        <w:t>          </w:t>
      </w:r>
      <w:r>
        <w:rPr>
          <w:rFonts w:ascii="Times New Roman" w:hAnsi="Times New Roman"/>
          <w:color w:val="000000"/>
          <w:sz w:val="20"/>
          <w:u w:val="single"/>
        </w:rPr>
        <w:t>Brokers</w:t>
      </w:r>
      <w:r>
        <w:rPr>
          <w:rFonts w:ascii="Times New Roman" w:hAnsi="Times New Roman"/>
          <w:color w:val="000000"/>
          <w:sz w:val="20"/>
        </w:rPr>
        <w:t>.  No broker, investment banker, financial advisor or other Person is entitled to any broker’s, finder’s, financial advisor’s or other similar fee or commission in connection with the transactions contemplated by this Agreement based upon arrangements made by or, to the knowledge of such Holder, on behalf of such Holder.</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2.07</w:t>
      </w:r>
      <w:r>
        <w:rPr>
          <w:rFonts w:ascii="Times New Roman" w:hAnsi="Times New Roman"/>
          <w:color w:val="000000"/>
          <w:sz w:val="20"/>
        </w:rPr>
        <w:t>          </w:t>
      </w:r>
      <w:r>
        <w:rPr>
          <w:rFonts w:ascii="Times New Roman" w:hAnsi="Times New Roman"/>
          <w:color w:val="000000"/>
          <w:sz w:val="20"/>
          <w:u w:val="single"/>
        </w:rPr>
        <w:t>Parent Reliance; Merger Agreement Governs</w:t>
      </w:r>
      <w:r>
        <w:rPr>
          <w:rFonts w:ascii="Times New Roman" w:hAnsi="Times New Roman"/>
          <w:color w:val="000000"/>
          <w:sz w:val="20"/>
        </w:rPr>
        <w:t>.  Such Holder understands and acknowledges that Parent is entering into the Merger Agreement in reliance upon the execution and delivery of this Agreement by such Holder and the representations, warranties and covenants of such Holder contained herein.  The Merger Agreement governs the terms of the Merger and the other transactions contemplated thereby.</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color w:val="010000"/>
          <w:sz w:val="20"/>
        </w:rPr>
      </w:pPr>
      <w:r>
        <w:rPr>
          <w:rFonts w:ascii="Times New Roman" w:hAnsi="Times New Roman"/>
          <w:color w:val="010000"/>
          <w:sz w:val="20"/>
        </w:rPr>
        <w:t>ARTICLE III</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u w:val="single"/>
        </w:rPr>
      </w:pPr>
      <w:r>
        <w:rPr>
          <w:rFonts w:ascii="Times New Roman" w:hAnsi="Times New Roman"/>
          <w:color w:val="000000"/>
          <w:sz w:val="20"/>
          <w:u w:val="single"/>
        </w:rPr>
        <w:t>Representations and Warranties of Parent</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Parent hereby represents and warrants to the Holders that:</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10000"/>
          <w:sz w:val="20"/>
        </w:rPr>
        <w:t>Section 3.01</w:t>
      </w:r>
      <w:r>
        <w:rPr>
          <w:rFonts w:ascii="Times New Roman" w:hAnsi="Times New Roman"/>
          <w:color w:val="000000"/>
          <w:sz w:val="20"/>
        </w:rPr>
        <w:t>          </w:t>
      </w:r>
      <w:r>
        <w:rPr>
          <w:rFonts w:ascii="Times New Roman" w:hAnsi="Times New Roman"/>
          <w:color w:val="000000"/>
          <w:sz w:val="20"/>
          <w:u w:val="single"/>
        </w:rPr>
        <w:t>Organization</w:t>
      </w:r>
      <w:r>
        <w:rPr>
          <w:rFonts w:ascii="Times New Roman" w:hAnsi="Times New Roman"/>
          <w:color w:val="000000"/>
          <w:sz w:val="20"/>
        </w:rPr>
        <w:t>.  Parent is a corporation duly organized, validly existing and in good standing under the Laws of Delaware.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3.02</w:t>
      </w:r>
      <w:r>
        <w:rPr>
          <w:rFonts w:ascii="Times New Roman" w:hAnsi="Times New Roman"/>
          <w:color w:val="000000"/>
          <w:sz w:val="20"/>
        </w:rPr>
        <w:t>          </w:t>
      </w:r>
      <w:r>
        <w:rPr>
          <w:rFonts w:ascii="Times New Roman" w:hAnsi="Times New Roman"/>
          <w:color w:val="000000"/>
          <w:sz w:val="20"/>
          <w:u w:val="single"/>
        </w:rPr>
        <w:t>Authority; Execution and Delivery; Enforceability</w:t>
      </w:r>
      <w:r>
        <w:rPr>
          <w:rFonts w:ascii="Times New Roman" w:hAnsi="Times New Roman"/>
          <w:color w:val="000000"/>
          <w:sz w:val="20"/>
        </w:rPr>
        <w:t>.  Parent has all necessary power and authority to execute and deliver this Agreement and to perform Parent’s obligations hereunder.  The execution and delivery by Parent of this Agreement and the performance by Parent of Parent’s obligations hereunder have been duly authorized and approved by all requisite action, and no other action on the part of Parent is necessary to authorize the execution and delivery of this Agreement or the performance by Parent of Parent’s obligations hereunder.  This Agreement has been duly executed and delivered by Parent and, assuming due authorization, execution and delivery hereof by the Holders, constitutes a legal, valid and binding obligation of Parent, enforceable against Parent in accordance with its terms, except as enforcement may be limited by the Bankruptcy and Equity Exception.</w:t>
      </w:r>
    </w:p>
    <w:p>
      <w:pPr>
        <w:pStyle w:val="TextBody"/>
        <w:bidi w:val="0"/>
        <w:spacing w:before="0" w:after="0"/>
        <w:jc w:val="left"/>
        <w:rPr/>
      </w:pPr>
      <w:r>
        <w:rPr/>
      </w:r>
    </w:p>
    <w:p>
      <w:pPr>
        <w:pStyle w:val="TextBody"/>
        <w:bidi w:val="0"/>
        <w:spacing w:before="0" w:after="0"/>
        <w:jc w:val="center"/>
        <w:rPr>
          <w:rFonts w:ascii="Times New Roman" w:hAnsi="Times New Roman"/>
          <w:color w:val="010000"/>
          <w:sz w:val="20"/>
        </w:rPr>
      </w:pPr>
      <w:r>
        <w:rPr>
          <w:rFonts w:ascii="Times New Roman" w:hAnsi="Times New Roman"/>
          <w:color w:val="010000"/>
          <w:sz w:val="20"/>
        </w:rPr>
        <w:t>ARTICLE IV</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u w:val="single"/>
        </w:rPr>
      </w:pPr>
      <w:r>
        <w:rPr>
          <w:rFonts w:ascii="Times New Roman" w:hAnsi="Times New Roman"/>
          <w:color w:val="000000"/>
          <w:sz w:val="20"/>
          <w:u w:val="single"/>
        </w:rPr>
        <w:t>Covenants of Holders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10000"/>
          <w:sz w:val="20"/>
        </w:rPr>
        <w:t>Section 4.01</w:t>
      </w:r>
      <w:r>
        <w:rPr>
          <w:rFonts w:ascii="Times New Roman" w:hAnsi="Times New Roman"/>
          <w:color w:val="000000"/>
          <w:sz w:val="20"/>
        </w:rPr>
        <w:t>          </w:t>
      </w:r>
      <w:r>
        <w:rPr>
          <w:rFonts w:ascii="Times New Roman" w:hAnsi="Times New Roman"/>
          <w:color w:val="000000"/>
          <w:sz w:val="20"/>
          <w:u w:val="single"/>
        </w:rPr>
        <w:t>Agreement to Vote</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(a)</w:t>
      </w:r>
      <w:r>
        <w:rPr>
          <w:rFonts w:ascii="Times New Roman" w:hAnsi="Times New Roman"/>
          <w:color w:val="000000"/>
          <w:sz w:val="20"/>
        </w:rPr>
        <w:t xml:space="preserve">          Subject to the terms of this Agreement, each Holder irrevocably and unconditionally agrees that at the Company Stockholders’ Meeting or at any other meeting of the Company’s stockholders (whether annual or special and whether or not an adjourned or postponed meeting, however called, and including any adjournment or postponement thereof) and, with respect to the matters described below in </w:t>
      </w:r>
      <w:r>
        <w:rPr>
          <w:rFonts w:ascii="Times New Roman" w:hAnsi="Times New Roman"/>
          <w:color w:val="000000"/>
          <w:sz w:val="20"/>
          <w:u w:val="single"/>
        </w:rPr>
        <w:t>clauses (ii)(A)</w:t>
      </w:r>
      <w:r>
        <w:rPr>
          <w:rFonts w:ascii="Times New Roman" w:hAnsi="Times New Roman"/>
          <w:color w:val="000000"/>
          <w:sz w:val="20"/>
        </w:rPr>
        <w:t xml:space="preserve"> through </w:t>
      </w:r>
      <w:r>
        <w:rPr>
          <w:rFonts w:ascii="Times New Roman" w:hAnsi="Times New Roman"/>
          <w:color w:val="000000"/>
          <w:sz w:val="20"/>
          <w:u w:val="single"/>
        </w:rPr>
        <w:t>(ii)(D)</w:t>
      </w:r>
      <w:r>
        <w:rPr>
          <w:rFonts w:ascii="Times New Roman" w:hAnsi="Times New Roman"/>
          <w:color w:val="000000"/>
          <w:sz w:val="20"/>
        </w:rPr>
        <w:t xml:space="preserve">, in connection with any action proposed to be taken by written consent of the Company’s stockholders:  (i) when such a meeting of the Company’s stockholders is held, such Holder shall appear at such meeting or otherwise cause the Subject Shares to be counted as present thereat for the purpose of establishing a quorum and, if applicable, vote in favor of any proposal to adjourn, recess or postpone any meeting of the Company’s stockholders at which the Merger Agreement or any other actions contemplated by the Merger Agreement is submitted for the consideration and vote of the Company’s stockholders to a later date if there are not proxies representing a sufficient number of shares of Company Common Stock to approve such matters on the date on which the meeting is held, and (ii) such Holder shall vote or cause to be voted at any such meeting (and at every postponement, recess or adjournment thereof), or execute and deliver or cause to be executed and delivered a written consent with respect to, all of such Holder’s Subject Shares (A) in favor of adopting the Merger Agreement and any other actions contemplated by the Merger Agreement in respect of which the approval of the Company’s stockholders is requested; (B) in favor of adoption of any proposal in respect of which the Board of Directors of the Company has (1) determined is reasonably necessary to facilitate any of the transactions contemplated by the Merger Agreement, (2) disclosed the determination described in the foregoing </w:t>
      </w:r>
      <w:r>
        <w:rPr>
          <w:rFonts w:ascii="Times New Roman" w:hAnsi="Times New Roman"/>
          <w:color w:val="000000"/>
          <w:sz w:val="20"/>
          <w:u w:val="single"/>
        </w:rPr>
        <w:t>clause (1)</w:t>
      </w:r>
      <w:r>
        <w:rPr>
          <w:rFonts w:ascii="Times New Roman" w:hAnsi="Times New Roman"/>
          <w:color w:val="000000"/>
          <w:sz w:val="20"/>
        </w:rPr>
        <w:t xml:space="preserve"> in the Proxy Statement or other written materials disseminated to the Company’s stockholders and (3) recommended to be adopted or approved by the Company’s stockholders; (C) in favor of any proposal (to the extent permitted by the Merger Agreement) to adjourn, recess or postpone the applicable meeting; and (D) against (1) any Takeover Proposal, whether or not constituting a Superior Proposal and (2) any action, proposal, transaction or agreement involving the Company or any of its Subsidiaries or any of the Affiliated Professional Entities that would reasonably likely be intended, or would reasonably be expected, to materially impede, interfere with, delay, postpone, affect in an adverse manner or prevent the consummation of the Merger or the other transactions contemplated by the Merger Agreement.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(b)</w:t>
      </w:r>
      <w:r>
        <w:rPr>
          <w:rFonts w:ascii="Times New Roman" w:hAnsi="Times New Roman"/>
          <w:color w:val="000000"/>
          <w:sz w:val="20"/>
        </w:rPr>
        <w:t xml:space="preserve">          Each Holder hereby covenants and agrees that such Holder shall not (i) enter into any agreement or undertaking (including any agreement or undertaking with a Person to vote or give instructions in a manner inconsistent with this </w:t>
      </w:r>
      <w:r>
        <w:rPr>
          <w:rFonts w:ascii="Times New Roman" w:hAnsi="Times New Roman"/>
          <w:color w:val="000000"/>
          <w:sz w:val="20"/>
          <w:u w:val="single"/>
        </w:rPr>
        <w:t>Section 4.01</w:t>
      </w:r>
      <w:r>
        <w:rPr>
          <w:rFonts w:ascii="Times New Roman" w:hAnsi="Times New Roman"/>
          <w:color w:val="000000"/>
          <w:sz w:val="20"/>
        </w:rPr>
        <w:t>) or (ii) take any action or commit or agree to take any action, that would reasonably be expected to materially prevent, impair or interfere with such Holder’s ability to perform any of such Holder’s obligations pursuant to this Agreement.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(c)</w:t>
      </w:r>
      <w:r>
        <w:rPr>
          <w:rFonts w:ascii="Times New Roman" w:hAnsi="Times New Roman"/>
          <w:color w:val="000000"/>
          <w:sz w:val="20"/>
        </w:rPr>
        <w:t>          Each Holder hereby revokes (and agrees to cause to be revoked) any and all proxies, if any, that such Holder has heretofore granted with respect to such Holder’s Subject Shares.</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(d)</w:t>
      </w:r>
      <w:r>
        <w:rPr>
          <w:rFonts w:ascii="Times New Roman" w:hAnsi="Times New Roman"/>
          <w:color w:val="000000"/>
          <w:sz w:val="20"/>
        </w:rPr>
        <w:t>          Nothing contained in this Agreement shall be deemed to vest in Parent any direct or indirect ownership or incidence of ownership of or with respect to any Subject Shares.  All rights, ownership and economic benefits of and relating to the Subject Shares shall remain vested in and belong to the Holders.  Furthermore, nothing contained in this Agreement shall require the Holders to:  (i) convert, exercise or exchange any option or convertible securities in order to obtain any underlying Shares or (ii) vote, or execute any consent with respect to, any Shares underlying such options or convertible securities that have not yet been issued as of the applicable record date for that vote or consent.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4.02</w:t>
      </w:r>
      <w:r>
        <w:rPr>
          <w:rFonts w:ascii="Times New Roman" w:hAnsi="Times New Roman"/>
          <w:color w:val="000000"/>
          <w:sz w:val="20"/>
        </w:rPr>
        <w:t>          </w:t>
      </w:r>
      <w:r>
        <w:rPr>
          <w:rFonts w:ascii="Times New Roman" w:hAnsi="Times New Roman"/>
          <w:color w:val="000000"/>
          <w:sz w:val="20"/>
          <w:u w:val="single"/>
        </w:rPr>
        <w:t>Proxy Card</w:t>
      </w:r>
      <w:r>
        <w:rPr>
          <w:rFonts w:ascii="Times New Roman" w:hAnsi="Times New Roman"/>
          <w:color w:val="000000"/>
          <w:sz w:val="20"/>
        </w:rPr>
        <w:t xml:space="preserve">.  Each Holder shall promptly (but in any event no later than five (5) Business Days prior to the Company Stockholders’ Meeting) execute and deliver to the Company or the Company’s proxy solicitor (or cause the holders of record of such Holder’s Subject Shares to execute and deliver to the Company or the Company’s proxy solicitor) any proxy card or voting instructions such Holder receives that is sent by the Company to its stockholders soliciting proxies with respect to any matter described in </w:t>
      </w:r>
      <w:r>
        <w:rPr>
          <w:rFonts w:ascii="Times New Roman" w:hAnsi="Times New Roman"/>
          <w:color w:val="000000"/>
          <w:sz w:val="20"/>
          <w:u w:val="single"/>
        </w:rPr>
        <w:t>Section 4.01(a)</w:t>
      </w:r>
      <w:r>
        <w:rPr>
          <w:rFonts w:ascii="Times New Roman" w:hAnsi="Times New Roman"/>
          <w:color w:val="000000"/>
          <w:sz w:val="20"/>
        </w:rPr>
        <w:t xml:space="preserve"> which shall be voted in the manner described in </w:t>
      </w:r>
      <w:r>
        <w:rPr>
          <w:rFonts w:ascii="Times New Roman" w:hAnsi="Times New Roman"/>
          <w:color w:val="000000"/>
          <w:sz w:val="20"/>
          <w:u w:val="single"/>
        </w:rPr>
        <w:t>Section 4.01(a)</w:t>
      </w:r>
      <w:r>
        <w:rPr>
          <w:rFonts w:ascii="Times New Roman" w:hAnsi="Times New Roman"/>
          <w:color w:val="000000"/>
          <w:sz w:val="20"/>
        </w:rPr>
        <w:t>, and such proxy card or voting instructions shall not be amended, withdrawn or rescinded.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4.03</w:t>
      </w:r>
      <w:r>
        <w:rPr>
          <w:rFonts w:ascii="Times New Roman" w:hAnsi="Times New Roman"/>
          <w:color w:val="000000"/>
          <w:sz w:val="20"/>
        </w:rPr>
        <w:t>          </w:t>
      </w:r>
      <w:r>
        <w:rPr>
          <w:rFonts w:ascii="Times New Roman" w:hAnsi="Times New Roman"/>
          <w:color w:val="000000"/>
          <w:sz w:val="20"/>
          <w:u w:val="single"/>
        </w:rPr>
        <w:t>Transfer and Other Restrictions</w:t>
      </w:r>
      <w:r>
        <w:rPr>
          <w:rFonts w:ascii="Times New Roman" w:hAnsi="Times New Roman"/>
          <w:color w:val="000000"/>
          <w:sz w:val="20"/>
        </w:rPr>
        <w:t xml:space="preserve">.  Prior to the Termination Date, each Holder shall not, directly or indirectly, (a) Transfer, or enter into any Contract, option or other arrangement or understanding with respect to the Transfer of, any Subject Shares to any Person, (b) tender into any tender or exchange offer any Subject Shares, whether voluntarily, involuntarily, by operation or otherwise or (c) enter into any voting arrangement, whether by proxy, voting agreement or otherwise, or grant a proxy or power of attorney or any other Contract, option or other arrangement or understanding with respect to the tendering, voting of or sale, transfer, assignment, pledge, encumbrance, hypothecation or similar disposition of (including by merger, by tendering into any tender or exchange offer, by testamentary disposition, by operation of law or otherwise) with respect to any Subject Shares, or deposit any Subject Shares into a voting trust.  Notwithstanding the immediately preceding sentence, this </w:t>
      </w:r>
      <w:r>
        <w:rPr>
          <w:rFonts w:ascii="Times New Roman" w:hAnsi="Times New Roman"/>
          <w:color w:val="000000"/>
          <w:sz w:val="20"/>
          <w:u w:val="single"/>
        </w:rPr>
        <w:t>Section 4.03</w:t>
      </w:r>
      <w:r>
        <w:rPr>
          <w:rFonts w:ascii="Times New Roman" w:hAnsi="Times New Roman"/>
          <w:color w:val="000000"/>
          <w:sz w:val="20"/>
        </w:rPr>
        <w:t xml:space="preserve"> shall not prohibit (i) a Transfer of any Subject Shares by a Holder (A) if such Holder is an individual, to any immediate family member, including any spouse, brother or sister, adopted child or grandchild, or the spouse of any child, adopted child, grandchild, or adopted grandchild, or lineal descendant or antecedent of such Holder or a trust for the benefit of any such family member or lineal descendant or antecedent, (B) to any corporation, limited liability company, or partnership, the stockholders, members, and general and limited partners of which include only the persons named in the preceding </w:t>
      </w:r>
      <w:r>
        <w:rPr>
          <w:rFonts w:ascii="Times New Roman" w:hAnsi="Times New Roman"/>
          <w:color w:val="000000"/>
          <w:sz w:val="20"/>
          <w:u w:val="single"/>
        </w:rPr>
        <w:t>clause (i)(A)</w:t>
      </w:r>
      <w:r>
        <w:rPr>
          <w:rFonts w:ascii="Times New Roman" w:hAnsi="Times New Roman"/>
          <w:color w:val="000000"/>
          <w:sz w:val="20"/>
        </w:rPr>
        <w:t xml:space="preserve"> or (C) to any person or entity if and solely to the extent required by any non-consensual, final and non-appealable Judgment, by divorce decree or by will or intestacy, or (D) as Parent may agree (prior to such Transfer) in writing in Parent’s sole and absolute discretion, so long as and only if, in the case of each of the foregoing </w:t>
      </w:r>
      <w:r>
        <w:rPr>
          <w:rFonts w:ascii="Times New Roman" w:hAnsi="Times New Roman"/>
          <w:color w:val="000000"/>
          <w:sz w:val="20"/>
          <w:u w:val="single"/>
        </w:rPr>
        <w:t>clauses (i)(A)</w:t>
      </w:r>
      <w:r>
        <w:rPr>
          <w:rFonts w:ascii="Times New Roman" w:hAnsi="Times New Roman"/>
          <w:color w:val="000000"/>
          <w:sz w:val="20"/>
        </w:rPr>
        <w:t xml:space="preserve"> through </w:t>
      </w:r>
      <w:r>
        <w:rPr>
          <w:rFonts w:ascii="Times New Roman" w:hAnsi="Times New Roman"/>
          <w:color w:val="000000"/>
          <w:sz w:val="20"/>
          <w:u w:val="single"/>
        </w:rPr>
        <w:t>(i)(D)</w:t>
      </w:r>
      <w:r>
        <w:rPr>
          <w:rFonts w:ascii="Times New Roman" w:hAnsi="Times New Roman"/>
          <w:color w:val="000000"/>
          <w:sz w:val="20"/>
        </w:rPr>
        <w:t xml:space="preserve">, the assignee or transferee of such Subject Shares agrees to be bound by the terms of this Agreement to the same effect as such Holder and executes and delivers to Parent a written consent and joinder memorializing such agreement in form reasonably acceptable to Parent, (ii) (A) the net settlement of such Holder’s options to purchase shares of Company Common Stock (to pay the exercise price thereof and any tax withholding obligations), (B) the net settlement of such Holder’s Company RSU settled in shares of Company Common Stock (to pay any tax withholding obligations), (C) the exercise of such Holder’s Company Stock Options, to the extent such Company Stock Options would expire prior to the Effective Time, or (D) the sale of a sufficient number of shares of Company Common Stock acquired upon exercise of such Holder’s Company Stock Options pursuant to the foregoing </w:t>
      </w:r>
      <w:r>
        <w:rPr>
          <w:rFonts w:ascii="Times New Roman" w:hAnsi="Times New Roman"/>
          <w:color w:val="000000"/>
          <w:sz w:val="20"/>
          <w:u w:val="single"/>
        </w:rPr>
        <w:t>clause (ii)(C)</w:t>
      </w:r>
      <w:r>
        <w:rPr>
          <w:rFonts w:ascii="Times New Roman" w:hAnsi="Times New Roman"/>
          <w:color w:val="000000"/>
          <w:sz w:val="20"/>
        </w:rPr>
        <w:t xml:space="preserve"> or upon the settlement of such Holder’s Company RSU, in each case as would generate sales proceeds sufficient to pay the aggregate applicable exercise price of shares then exercised under such Company Stock Options and the taxes payable by such Holder as a result of such exercise or settlement, or (iii) in the case of Douglas Braunstein individually, the transfer of up to [*] Subject Shares to one or more charitable trusts (which charitable trusts shall not be required to be bound by the terms of this Agreement).  Any attempted Transfer of, or other action with respect to, Subject Shares or any interest therein in violation of this </w:t>
      </w:r>
      <w:r>
        <w:rPr>
          <w:rFonts w:ascii="Times New Roman" w:hAnsi="Times New Roman"/>
          <w:color w:val="000000"/>
          <w:sz w:val="20"/>
          <w:u w:val="single"/>
        </w:rPr>
        <w:t>Section 4.03</w:t>
      </w:r>
      <w:r>
        <w:rPr>
          <w:rFonts w:ascii="Times New Roman" w:hAnsi="Times New Roman"/>
          <w:color w:val="000000"/>
          <w:sz w:val="20"/>
        </w:rPr>
        <w:t xml:space="preserve"> shall be null and void </w:t>
      </w:r>
      <w:r>
        <w:rPr>
          <w:rFonts w:ascii="Times New Roman" w:hAnsi="Times New Roman"/>
          <w:i/>
          <w:color w:val="000000"/>
          <w:sz w:val="20"/>
        </w:rPr>
        <w:t>ab initio</w:t>
      </w:r>
      <w:r>
        <w:rPr>
          <w:rFonts w:ascii="Times New Roman" w:hAnsi="Times New Roman"/>
          <w:color w:val="000000"/>
          <w:sz w:val="20"/>
        </w:rPr>
        <w: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4.04</w:t>
      </w:r>
      <w:r>
        <w:rPr>
          <w:rFonts w:ascii="Times New Roman" w:hAnsi="Times New Roman"/>
          <w:color w:val="000000"/>
          <w:sz w:val="20"/>
        </w:rPr>
        <w:t>          </w:t>
      </w:r>
      <w:r>
        <w:rPr>
          <w:rFonts w:ascii="Times New Roman" w:hAnsi="Times New Roman"/>
          <w:color w:val="000000"/>
          <w:sz w:val="20"/>
          <w:u w:val="single"/>
        </w:rPr>
        <w:t>Stock Dividends, etc</w:t>
      </w:r>
      <w:r>
        <w:rPr>
          <w:rFonts w:ascii="Times New Roman" w:hAnsi="Times New Roman"/>
          <w:color w:val="000000"/>
          <w:sz w:val="20"/>
        </w:rPr>
        <w:t>.  If, between the date of this Agreement and the Effective Time, the issued and outstanding Shares shall have been changed into a different number of shares or a different class by reason of the occurrence or record date of any stock dividend, subdivision, reclassification, recapitalization, split, combination, exchange of shares or similar transaction, the terms “Existing Shares,” “New Shares” and “Subject Shares” shall be appropriately adjusted to reflect such stock dividend, subdivision, reclassification, recapitalization, split, combination, exchange of shares or similar transaction.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4.05</w:t>
      </w:r>
      <w:r>
        <w:rPr>
          <w:rFonts w:ascii="Times New Roman" w:hAnsi="Times New Roman"/>
          <w:color w:val="000000"/>
          <w:sz w:val="20"/>
        </w:rPr>
        <w:t>          </w:t>
      </w:r>
      <w:r>
        <w:rPr>
          <w:rFonts w:ascii="Times New Roman" w:hAnsi="Times New Roman"/>
          <w:color w:val="000000"/>
          <w:sz w:val="20"/>
          <w:u w:val="single"/>
        </w:rPr>
        <w:t>Waiver of Appraisal Rights</w:t>
      </w:r>
      <w:r>
        <w:rPr>
          <w:rFonts w:ascii="Times New Roman" w:hAnsi="Times New Roman"/>
          <w:color w:val="000000"/>
          <w:sz w:val="20"/>
        </w:rPr>
        <w:t>.  Each Holder hereby irrevocably and unconditionally waives, and shall cause to be waived, any and all rights of appraisal or rights to dissent from the Merger or the other transactions contemplated by the Merger Agreement that such Holder may have under applicable Law.  In addition, each Holder agrees not to demand or commence any appraisal proceeding under Section 262 of the DGCL with respect to such Holder’s Subject Shares.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4.06</w:t>
      </w:r>
      <w:r>
        <w:rPr>
          <w:rFonts w:ascii="Times New Roman" w:hAnsi="Times New Roman"/>
          <w:color w:val="000000"/>
          <w:sz w:val="20"/>
        </w:rPr>
        <w:t>          </w:t>
      </w:r>
      <w:r>
        <w:rPr>
          <w:rFonts w:ascii="Times New Roman" w:hAnsi="Times New Roman"/>
          <w:color w:val="000000"/>
          <w:sz w:val="20"/>
          <w:u w:val="single"/>
        </w:rPr>
        <w:t>Disclosure</w:t>
      </w:r>
      <w:r>
        <w:rPr>
          <w:rFonts w:ascii="Times New Roman" w:hAnsi="Times New Roman"/>
          <w:color w:val="000000"/>
          <w:sz w:val="20"/>
        </w:rPr>
        <w:t>.  Each Holder hereby authorizes the Company, Parent and Merger Sub to publish and disclose in any announcement or disclosure required by the SEC and in the Proxy Statement and the filings required under applicable Law in connection with the Merger and any transactions contemplated by the Merger Agreement, each Holder’s identity and ownership of the Subject Shares and the nature of each Holder’s obligations under this Agreement after providing each Holder with a reasonable opportunity to review and approve (such approval not to be unreasonably withheld, conditioned or delayed) such publication or disclosure prior to any such publication or disclosure.  Parent hereby authorizes each Holder to disclose in any disclosure required by any Governmental Authority Parent’s identity and the nature of Parent’s obligations under this Agreement.  Parent will not make any other disclosures regarding any Holder in any press release or otherwise without the prior written consent of such Holder (such approval not to be unreasonably withheld, conditioned or delayed).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4.07</w:t>
      </w:r>
      <w:r>
        <w:rPr>
          <w:rFonts w:ascii="Times New Roman" w:hAnsi="Times New Roman"/>
          <w:color w:val="000000"/>
          <w:sz w:val="20"/>
        </w:rPr>
        <w:t>          </w:t>
      </w:r>
      <w:r>
        <w:rPr>
          <w:rFonts w:ascii="Times New Roman" w:hAnsi="Times New Roman"/>
          <w:color w:val="000000"/>
          <w:sz w:val="20"/>
          <w:u w:val="single"/>
        </w:rPr>
        <w:t>Fiduciary Responsibilities</w:t>
      </w:r>
      <w:r>
        <w:rPr>
          <w:rFonts w:ascii="Times New Roman" w:hAnsi="Times New Roman"/>
          <w:color w:val="000000"/>
          <w:sz w:val="20"/>
        </w:rPr>
        <w:t>.  Notwithstanding any provision of this Agreement to the contrary, this Agreement shall apply to each Holder solely in its capacity as a holder of Shares and not in any other capacity, and nothing in this Agreement shall limit, restrict or affect the rights, obligations and actions of (a) such Holder in such Holder’s capacity as an officer, director or employee of the Company and (b) any officer or director or designee of the Holders or their Affiliates serving on the Board of Directors of the Company from taking any action in his or her capacity as a director or officer of the Company or voting or providing written consent as a director of the Company in his or her sole discretion on any matter, whether in connection with the Merger Agreement or otherwise, and no action or omissions by any such Persons in his or her capacity as a director or officer of the Company shall be deemed to constitute a breach of any provision of this Agreement.  However, for the avoidance of doubt, except as expressly provided otherwise in this Agreement, an Adverse Recommendation Change shall not relieve any such Holder of any obligation hereunder with respect to the Shares beneficially owned by such Holder or any New Shares.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4.08</w:t>
      </w:r>
      <w:r>
        <w:rPr>
          <w:rFonts w:ascii="Times New Roman" w:hAnsi="Times New Roman"/>
          <w:color w:val="000000"/>
          <w:sz w:val="20"/>
        </w:rPr>
        <w:t>          </w:t>
      </w:r>
      <w:r>
        <w:rPr>
          <w:rFonts w:ascii="Times New Roman" w:hAnsi="Times New Roman"/>
          <w:color w:val="000000"/>
          <w:sz w:val="20"/>
          <w:u w:val="single"/>
        </w:rPr>
        <w:t>Additional Existing Shares</w:t>
      </w:r>
      <w:r>
        <w:rPr>
          <w:rFonts w:ascii="Times New Roman" w:hAnsi="Times New Roman"/>
          <w:color w:val="000000"/>
          <w:sz w:val="20"/>
        </w:rPr>
        <w:t>.  Each Holder shall provide as promptly as reasonably practicable written notice to Parent of any additional Shares of which such Holder becomes the “beneficial owner” after the date hereof and during the term of this Agreement.  Each Holder agrees that New Shares shall be subject to the terms and conditions of this Agreement to the same extent as if such New Shares constituted Existing Shares on the date hereof.</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4.09</w:t>
      </w:r>
      <w:r>
        <w:rPr>
          <w:rFonts w:ascii="Times New Roman" w:hAnsi="Times New Roman"/>
          <w:color w:val="000000"/>
          <w:sz w:val="20"/>
        </w:rPr>
        <w:t>          </w:t>
      </w:r>
      <w:r>
        <w:rPr>
          <w:rFonts w:ascii="Times New Roman" w:hAnsi="Times New Roman"/>
          <w:color w:val="000000"/>
          <w:sz w:val="20"/>
          <w:u w:val="single"/>
        </w:rPr>
        <w:t>No Participation in Litigation</w:t>
      </w:r>
      <w:r>
        <w:rPr>
          <w:rFonts w:ascii="Times New Roman" w:hAnsi="Times New Roman"/>
          <w:color w:val="000000"/>
          <w:sz w:val="20"/>
        </w:rPr>
        <w:t xml:space="preserve">.  Each Holder hereby agrees not to commence or participate in, and agrees to use reasonable best efforts to, if requested by Parent, take all actions necessary to opt out of any class in any class action with respect to, any claim, action, litigation or proceeding, derivative or otherwise, against Parent, Merger Sub, the Company or any of their respective Affiliates or any of the Affiliated Professional Entities relating to the negotiation, execution or delivery of this Agreement or the Merger Agreement or the consummation of the Merger, including any claim, action, litigation or proceeding (a) challenging the validity, or seeking to enjoin the operation, of any provision of this Agreement or the Merger Agreement or (b) alleging a breach of any fiduciary duty of any members of the Board of Directors of the Company in connection with the Merger Agreement or the transactions contemplated thereby;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the foregoing shall not restrict such Holder from enforcing any of his, her or its rights under the Merger Agreement or this Agreement.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color w:val="010000"/>
          <w:sz w:val="20"/>
        </w:rPr>
      </w:pPr>
      <w:r>
        <w:rPr>
          <w:rFonts w:ascii="Times New Roman" w:hAnsi="Times New Roman"/>
          <w:color w:val="010000"/>
          <w:sz w:val="20"/>
        </w:rPr>
        <w:t>ARTICLE V</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u w:val="single"/>
        </w:rPr>
      </w:pPr>
      <w:r>
        <w:rPr>
          <w:rFonts w:ascii="Times New Roman" w:hAnsi="Times New Roman"/>
          <w:color w:val="000000"/>
          <w:sz w:val="20"/>
          <w:u w:val="single"/>
        </w:rPr>
        <w:t>General Provisions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5.01</w:t>
      </w:r>
      <w:r>
        <w:rPr>
          <w:rFonts w:ascii="Times New Roman" w:hAnsi="Times New Roman"/>
          <w:color w:val="000000"/>
          <w:sz w:val="20"/>
        </w:rPr>
        <w:t>          </w:t>
      </w:r>
      <w:r>
        <w:rPr>
          <w:rFonts w:ascii="Times New Roman" w:hAnsi="Times New Roman"/>
          <w:color w:val="000000"/>
          <w:sz w:val="20"/>
          <w:u w:val="single"/>
        </w:rPr>
        <w:t>Notices</w:t>
      </w:r>
      <w:r>
        <w:rPr>
          <w:rFonts w:ascii="Times New Roman" w:hAnsi="Times New Roman"/>
          <w:color w:val="000000"/>
          <w:sz w:val="20"/>
        </w:rPr>
        <w:t>.  All notices, requests and other communications to any party hereunder shall be in writing and shall be deemed given if delivered personally, emailed (unless an automated message indicating non-delivery is received with respect thereto) or sent by nationally recognized overnight courier (providing proof of delivery) to the parties at the following addresses: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z62a47c732cbf42a298b31503ea062059"/>
      <w:bookmarkStart w:id="21" w:name="z62a47c732cbf42a298b31503ea062059"/>
      <w:bookmarkEnd w:id="21"/>
    </w:p>
    <w:tbl>
      <w:tblPr>
        <w:tblW w:w="7099" w:type="dxa"/>
        <w:jc w:val="left"/>
        <w:tblInd w:w="0" w:type="dxa"/>
        <w:tblLayout w:type="fixed"/>
        <w:tblCellMar>
          <w:top w:w="0" w:type="dxa"/>
          <w:left w:w="0" w:type="dxa"/>
          <w:bottom w:w="0" w:type="dxa"/>
          <w:right w:w="0" w:type="dxa"/>
        </w:tblCellMar>
      </w:tblPr>
      <w:tblGrid>
        <w:gridCol w:w="60"/>
        <w:gridCol w:w="2397"/>
        <w:gridCol w:w="4642"/>
      </w:tblGrid>
      <w:tr>
        <w:trPr/>
        <w:tc>
          <w:tcPr>
            <w:tcW w:w="60" w:type="dxa"/>
            <w:tcBorders/>
            <w:vAlign w:val="center"/>
          </w:tcPr>
          <w:p>
            <w:pPr>
              <w:pStyle w:val="TableContents"/>
              <w:bidi w:val="0"/>
              <w:spacing w:before="0" w:after="283"/>
              <w:jc w:val="left"/>
              <w:rPr/>
            </w:pPr>
            <w:r>
              <w:rPr/>
              <w:t> </w:t>
            </w:r>
          </w:p>
        </w:tc>
        <w:tc>
          <w:tcPr>
            <w:tcW w:w="7039" w:type="dxa"/>
            <w:gridSpan w:val="2"/>
            <w:tcBorders/>
            <w:vAlign w:val="center"/>
          </w:tcPr>
          <w:p>
            <w:pPr>
              <w:pStyle w:val="TableContents"/>
              <w:bidi w:val="0"/>
              <w:spacing w:before="0" w:after="0"/>
              <w:jc w:val="left"/>
              <w:rPr/>
            </w:pPr>
            <w:r>
              <w:rPr/>
              <w:t>If to Parent, to:</w:t>
            </w:r>
          </w:p>
        </w:tc>
      </w:tr>
      <w:tr>
        <w:trPr/>
        <w:tc>
          <w:tcPr>
            <w:tcW w:w="60" w:type="dxa"/>
            <w:tcBorders/>
            <w:vAlign w:val="center"/>
          </w:tcPr>
          <w:p>
            <w:pPr>
              <w:pStyle w:val="TableContents"/>
              <w:bidi w:val="0"/>
              <w:spacing w:before="0" w:after="283"/>
              <w:jc w:val="left"/>
              <w:rPr/>
            </w:pPr>
            <w:r>
              <w:rPr/>
              <w:t> </w:t>
            </w:r>
          </w:p>
        </w:tc>
        <w:tc>
          <w:tcPr>
            <w:tcW w:w="7039"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7039" w:type="dxa"/>
            <w:gridSpan w:val="2"/>
            <w:tcBorders/>
            <w:vAlign w:val="center"/>
          </w:tcPr>
          <w:p>
            <w:pPr>
              <w:pStyle w:val="TableContents"/>
              <w:bidi w:val="0"/>
              <w:spacing w:before="0" w:after="0"/>
              <w:jc w:val="left"/>
              <w:rPr/>
            </w:pPr>
            <w:r>
              <w:rPr/>
              <w:t>c/o Universal Health Services, Inc.</w:t>
            </w:r>
          </w:p>
        </w:tc>
      </w:tr>
      <w:tr>
        <w:trPr/>
        <w:tc>
          <w:tcPr>
            <w:tcW w:w="60" w:type="dxa"/>
            <w:tcBorders/>
            <w:vAlign w:val="center"/>
          </w:tcPr>
          <w:p>
            <w:pPr>
              <w:pStyle w:val="TableContents"/>
              <w:bidi w:val="0"/>
              <w:spacing w:before="0" w:after="283"/>
              <w:jc w:val="left"/>
              <w:rPr/>
            </w:pPr>
            <w:r>
              <w:rPr/>
              <w:t> </w:t>
            </w:r>
          </w:p>
        </w:tc>
        <w:tc>
          <w:tcPr>
            <w:tcW w:w="7039" w:type="dxa"/>
            <w:gridSpan w:val="2"/>
            <w:tcBorders/>
            <w:vAlign w:val="center"/>
          </w:tcPr>
          <w:p>
            <w:pPr>
              <w:pStyle w:val="TableContents"/>
              <w:bidi w:val="0"/>
              <w:spacing w:before="0" w:after="0"/>
              <w:jc w:val="left"/>
              <w:rPr/>
            </w:pPr>
            <w:r>
              <w:rPr/>
              <w:t>367 South Gulph Road</w:t>
            </w:r>
          </w:p>
        </w:tc>
      </w:tr>
      <w:tr>
        <w:trPr/>
        <w:tc>
          <w:tcPr>
            <w:tcW w:w="60" w:type="dxa"/>
            <w:tcBorders/>
            <w:vAlign w:val="center"/>
          </w:tcPr>
          <w:p>
            <w:pPr>
              <w:pStyle w:val="TableContents"/>
              <w:bidi w:val="0"/>
              <w:spacing w:before="0" w:after="283"/>
              <w:jc w:val="left"/>
              <w:rPr/>
            </w:pPr>
            <w:r>
              <w:rPr/>
              <w:t> </w:t>
            </w:r>
          </w:p>
        </w:tc>
        <w:tc>
          <w:tcPr>
            <w:tcW w:w="7039" w:type="dxa"/>
            <w:gridSpan w:val="2"/>
            <w:tcBorders/>
            <w:vAlign w:val="center"/>
          </w:tcPr>
          <w:p>
            <w:pPr>
              <w:pStyle w:val="TableContents"/>
              <w:bidi w:val="0"/>
              <w:spacing w:before="0" w:after="0"/>
              <w:jc w:val="left"/>
              <w:rPr/>
            </w:pPr>
            <w:r>
              <w:rPr/>
              <w:t>King of Prussia, PA 19406</w:t>
            </w:r>
          </w:p>
        </w:tc>
      </w:tr>
      <w:tr>
        <w:trPr/>
        <w:tc>
          <w:tcPr>
            <w:tcW w:w="60" w:type="dxa"/>
            <w:tcBorders/>
            <w:vAlign w:val="center"/>
          </w:tcPr>
          <w:p>
            <w:pPr>
              <w:pStyle w:val="TableContents"/>
              <w:bidi w:val="0"/>
              <w:spacing w:before="0" w:after="283"/>
              <w:jc w:val="left"/>
              <w:rPr/>
            </w:pPr>
            <w:r>
              <w:rPr/>
              <w:t> </w:t>
            </w:r>
          </w:p>
        </w:tc>
        <w:tc>
          <w:tcPr>
            <w:tcW w:w="7039" w:type="dxa"/>
            <w:gridSpan w:val="2"/>
            <w:tcBorders/>
            <w:vAlign w:val="center"/>
          </w:tcPr>
          <w:p>
            <w:pPr>
              <w:pStyle w:val="TableContents"/>
              <w:bidi w:val="0"/>
              <w:spacing w:before="0" w:after="0"/>
              <w:jc w:val="left"/>
              <w:rPr/>
            </w:pPr>
            <w:r>
              <w:rPr/>
              <w:t>Attention:  Matthew D. Klein, Senior Vice President and General Counsel</w:t>
            </w:r>
          </w:p>
        </w:tc>
      </w:tr>
      <w:tr>
        <w:trPr/>
        <w:tc>
          <w:tcPr>
            <w:tcW w:w="60" w:type="dxa"/>
            <w:tcBorders/>
            <w:vAlign w:val="center"/>
          </w:tcPr>
          <w:p>
            <w:pPr>
              <w:pStyle w:val="TableContents"/>
              <w:bidi w:val="0"/>
              <w:spacing w:before="0" w:after="283"/>
              <w:jc w:val="left"/>
              <w:rPr/>
            </w:pPr>
            <w:r>
              <w:rPr/>
              <w:t> </w:t>
            </w:r>
          </w:p>
        </w:tc>
        <w:tc>
          <w:tcPr>
            <w:tcW w:w="7039" w:type="dxa"/>
            <w:gridSpan w:val="2"/>
            <w:tcBorders/>
            <w:vAlign w:val="center"/>
          </w:tcPr>
          <w:p>
            <w:pPr>
              <w:pStyle w:val="TableContents"/>
              <w:bidi w:val="0"/>
              <w:spacing w:before="0" w:after="0"/>
              <w:jc w:val="left"/>
              <w:rPr/>
            </w:pPr>
            <w:r>
              <w:rPr/>
              <w:t>Email: [*]</w:t>
            </w:r>
          </w:p>
        </w:tc>
      </w:tr>
      <w:tr>
        <w:trPr/>
        <w:tc>
          <w:tcPr>
            <w:tcW w:w="60" w:type="dxa"/>
            <w:tcBorders/>
            <w:vAlign w:val="center"/>
          </w:tcPr>
          <w:p>
            <w:pPr>
              <w:pStyle w:val="TableContents"/>
              <w:bidi w:val="0"/>
              <w:spacing w:before="0" w:after="283"/>
              <w:jc w:val="left"/>
              <w:rPr/>
            </w:pPr>
            <w:r>
              <w:rPr/>
              <w:t> </w:t>
            </w:r>
          </w:p>
        </w:tc>
        <w:tc>
          <w:tcPr>
            <w:tcW w:w="7039"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7039" w:type="dxa"/>
            <w:gridSpan w:val="2"/>
            <w:tcBorders/>
            <w:vAlign w:val="center"/>
          </w:tcPr>
          <w:p>
            <w:pPr>
              <w:pStyle w:val="TableContents"/>
              <w:bidi w:val="0"/>
              <w:spacing w:before="0" w:after="0"/>
              <w:jc w:val="left"/>
              <w:rPr/>
            </w:pPr>
            <w:r>
              <w:rPr/>
              <w:t>with a copy (which will not constitute notice) to:</w:t>
            </w:r>
          </w:p>
        </w:tc>
      </w:tr>
      <w:tr>
        <w:trPr/>
        <w:tc>
          <w:tcPr>
            <w:tcW w:w="60" w:type="dxa"/>
            <w:tcBorders/>
            <w:vAlign w:val="center"/>
          </w:tcPr>
          <w:p>
            <w:pPr>
              <w:pStyle w:val="TableContents"/>
              <w:bidi w:val="0"/>
              <w:spacing w:before="0" w:after="283"/>
              <w:jc w:val="left"/>
              <w:rPr/>
            </w:pPr>
            <w:r>
              <w:rPr/>
              <w:t> </w:t>
            </w:r>
          </w:p>
        </w:tc>
        <w:tc>
          <w:tcPr>
            <w:tcW w:w="7039"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7039" w:type="dxa"/>
            <w:gridSpan w:val="2"/>
            <w:tcBorders/>
            <w:vAlign w:val="center"/>
          </w:tcPr>
          <w:p>
            <w:pPr>
              <w:pStyle w:val="TableContents"/>
              <w:bidi w:val="0"/>
              <w:spacing w:before="0" w:after="0"/>
              <w:jc w:val="left"/>
              <w:rPr/>
            </w:pPr>
            <w:r>
              <w:rPr/>
              <w:t>McDermott Will &amp; Schulte LLP</w:t>
            </w:r>
          </w:p>
        </w:tc>
      </w:tr>
      <w:tr>
        <w:trPr/>
        <w:tc>
          <w:tcPr>
            <w:tcW w:w="60" w:type="dxa"/>
            <w:tcBorders/>
            <w:vAlign w:val="center"/>
          </w:tcPr>
          <w:p>
            <w:pPr>
              <w:pStyle w:val="TableContents"/>
              <w:bidi w:val="0"/>
              <w:spacing w:before="0" w:after="283"/>
              <w:jc w:val="left"/>
              <w:rPr/>
            </w:pPr>
            <w:r>
              <w:rPr/>
              <w:t> </w:t>
            </w:r>
          </w:p>
        </w:tc>
        <w:tc>
          <w:tcPr>
            <w:tcW w:w="7039" w:type="dxa"/>
            <w:gridSpan w:val="2"/>
            <w:tcBorders/>
            <w:vAlign w:val="center"/>
          </w:tcPr>
          <w:p>
            <w:pPr>
              <w:pStyle w:val="TableContents"/>
              <w:bidi w:val="0"/>
              <w:spacing w:before="0" w:after="0"/>
              <w:jc w:val="left"/>
              <w:rPr/>
            </w:pPr>
            <w:r>
              <w:rPr/>
              <w:t>444 West Lake Street, Suite 4000</w:t>
            </w:r>
          </w:p>
        </w:tc>
      </w:tr>
      <w:tr>
        <w:trPr/>
        <w:tc>
          <w:tcPr>
            <w:tcW w:w="60" w:type="dxa"/>
            <w:tcBorders/>
            <w:vAlign w:val="center"/>
          </w:tcPr>
          <w:p>
            <w:pPr>
              <w:pStyle w:val="TableContents"/>
              <w:bidi w:val="0"/>
              <w:spacing w:before="0" w:after="283"/>
              <w:jc w:val="left"/>
              <w:rPr/>
            </w:pPr>
            <w:r>
              <w:rPr/>
              <w:t> </w:t>
            </w:r>
          </w:p>
        </w:tc>
        <w:tc>
          <w:tcPr>
            <w:tcW w:w="7039" w:type="dxa"/>
            <w:gridSpan w:val="2"/>
            <w:tcBorders/>
            <w:vAlign w:val="center"/>
          </w:tcPr>
          <w:p>
            <w:pPr>
              <w:pStyle w:val="TableContents"/>
              <w:bidi w:val="0"/>
              <w:spacing w:before="0" w:after="0"/>
              <w:jc w:val="left"/>
              <w:rPr/>
            </w:pPr>
            <w:r>
              <w:rPr/>
              <w:t>Chicago, IL 60606</w:t>
            </w:r>
          </w:p>
        </w:tc>
      </w:tr>
      <w:tr>
        <w:trPr/>
        <w:tc>
          <w:tcPr>
            <w:tcW w:w="60" w:type="dxa"/>
            <w:tcBorders/>
            <w:vAlign w:val="center"/>
          </w:tcPr>
          <w:p>
            <w:pPr>
              <w:pStyle w:val="TableContents"/>
              <w:bidi w:val="0"/>
              <w:spacing w:before="0" w:after="283"/>
              <w:jc w:val="left"/>
              <w:rPr/>
            </w:pPr>
            <w:r>
              <w:rPr/>
              <w:t> </w:t>
            </w:r>
          </w:p>
        </w:tc>
        <w:tc>
          <w:tcPr>
            <w:tcW w:w="7039" w:type="dxa"/>
            <w:gridSpan w:val="2"/>
            <w:tcBorders/>
            <w:vAlign w:val="center"/>
          </w:tcPr>
          <w:p>
            <w:pPr>
              <w:pStyle w:val="TableContents"/>
              <w:bidi w:val="0"/>
              <w:spacing w:before="0" w:after="0"/>
              <w:jc w:val="left"/>
              <w:rPr/>
            </w:pPr>
            <w:r>
              <w:rPr/>
              <w:t>Attention: Eric Orsic</w:t>
            </w:r>
          </w:p>
        </w:tc>
      </w:tr>
      <w:tr>
        <w:trPr/>
        <w:tc>
          <w:tcPr>
            <w:tcW w:w="60" w:type="dxa"/>
            <w:tcBorders/>
            <w:vAlign w:val="center"/>
          </w:tcPr>
          <w:p>
            <w:pPr>
              <w:pStyle w:val="TableContents"/>
              <w:bidi w:val="0"/>
              <w:spacing w:before="0" w:after="283"/>
              <w:jc w:val="left"/>
              <w:rPr/>
            </w:pPr>
            <w:r>
              <w:rPr/>
              <w:t> </w:t>
            </w:r>
          </w:p>
        </w:tc>
        <w:tc>
          <w:tcPr>
            <w:tcW w:w="7039" w:type="dxa"/>
            <w:gridSpan w:val="2"/>
            <w:tcBorders/>
            <w:vAlign w:val="center"/>
          </w:tcPr>
          <w:p>
            <w:pPr>
              <w:pStyle w:val="TableContents"/>
              <w:bidi w:val="0"/>
              <w:spacing w:before="0" w:after="0"/>
              <w:jc w:val="left"/>
              <w:rPr/>
            </w:pPr>
            <w:r>
              <w:rPr/>
              <w:t xml:space="preserve">Email: </w:t>
            </w:r>
            <w:r>
              <w:rPr>
                <w:b w:val="false"/>
                <w:i w:val="false"/>
                <w:caps w:val="false"/>
                <w:smallCaps w:val="false"/>
                <w:color w:val="0000FF"/>
                <w:u w:val="single"/>
                <w:shd w:fill="FFFFFF" w:val="clear"/>
              </w:rPr>
              <w:t>eorsic@mcdermottlaw.com</w:t>
            </w:r>
          </w:p>
        </w:tc>
      </w:tr>
      <w:tr>
        <w:trPr/>
        <w:tc>
          <w:tcPr>
            <w:tcW w:w="60" w:type="dxa"/>
            <w:tcBorders/>
            <w:vAlign w:val="center"/>
          </w:tcPr>
          <w:p>
            <w:pPr>
              <w:pStyle w:val="TableContents"/>
              <w:bidi w:val="0"/>
              <w:spacing w:before="0" w:after="283"/>
              <w:jc w:val="left"/>
              <w:rPr/>
            </w:pPr>
            <w:r>
              <w:rPr/>
              <w:t> </w:t>
            </w:r>
          </w:p>
        </w:tc>
        <w:tc>
          <w:tcPr>
            <w:tcW w:w="7039"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7039"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7039" w:type="dxa"/>
            <w:gridSpan w:val="2"/>
            <w:tcBorders/>
            <w:vAlign w:val="center"/>
          </w:tcPr>
          <w:p>
            <w:pPr>
              <w:pStyle w:val="TableContents"/>
              <w:bidi w:val="0"/>
              <w:spacing w:before="0" w:after="0"/>
              <w:jc w:val="left"/>
              <w:rPr/>
            </w:pPr>
            <w:r>
              <w:rPr/>
              <w:t>If to any Holder, to:</w:t>
            </w:r>
          </w:p>
        </w:tc>
      </w:tr>
      <w:tr>
        <w:trPr/>
        <w:tc>
          <w:tcPr>
            <w:tcW w:w="60" w:type="dxa"/>
            <w:tcBorders/>
            <w:vAlign w:val="center"/>
          </w:tcPr>
          <w:p>
            <w:pPr>
              <w:pStyle w:val="TableContents"/>
              <w:bidi w:val="0"/>
              <w:spacing w:before="0" w:after="283"/>
              <w:jc w:val="left"/>
              <w:rPr/>
            </w:pPr>
            <w:r>
              <w:rPr/>
              <w:t> </w:t>
            </w:r>
          </w:p>
        </w:tc>
        <w:tc>
          <w:tcPr>
            <w:tcW w:w="7039"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7039" w:type="dxa"/>
            <w:gridSpan w:val="2"/>
            <w:tcBorders/>
            <w:vAlign w:val="center"/>
          </w:tcPr>
          <w:p>
            <w:pPr>
              <w:pStyle w:val="TableContents"/>
              <w:bidi w:val="0"/>
              <w:spacing w:before="0" w:after="0"/>
              <w:jc w:val="left"/>
              <w:rPr/>
            </w:pPr>
            <w:r>
              <w:rPr/>
              <w:t>The address set forth next to such Holder on Schedule A</w:t>
            </w:r>
          </w:p>
        </w:tc>
      </w:tr>
      <w:tr>
        <w:trPr/>
        <w:tc>
          <w:tcPr>
            <w:tcW w:w="60" w:type="dxa"/>
            <w:tcBorders/>
            <w:vAlign w:val="center"/>
          </w:tcPr>
          <w:p>
            <w:pPr>
              <w:pStyle w:val="TableContents"/>
              <w:bidi w:val="0"/>
              <w:spacing w:before="0" w:after="283"/>
              <w:jc w:val="left"/>
              <w:rPr/>
            </w:pPr>
            <w:r>
              <w:rPr/>
              <w:t> </w:t>
            </w:r>
          </w:p>
        </w:tc>
        <w:tc>
          <w:tcPr>
            <w:tcW w:w="7039"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7039" w:type="dxa"/>
            <w:gridSpan w:val="2"/>
            <w:tcBorders/>
            <w:vAlign w:val="center"/>
          </w:tcPr>
          <w:p>
            <w:pPr>
              <w:pStyle w:val="TableContents"/>
              <w:bidi w:val="0"/>
              <w:spacing w:before="0" w:after="0"/>
              <w:jc w:val="left"/>
              <w:rPr/>
            </w:pPr>
            <w:r>
              <w:rPr/>
              <w:t>with a copy (which will not constitute notice) to:</w:t>
            </w:r>
          </w:p>
        </w:tc>
      </w:tr>
      <w:tr>
        <w:trPr/>
        <w:tc>
          <w:tcPr>
            <w:tcW w:w="60" w:type="dxa"/>
            <w:tcBorders/>
            <w:vAlign w:val="center"/>
          </w:tcPr>
          <w:p>
            <w:pPr>
              <w:pStyle w:val="TableContents"/>
              <w:bidi w:val="0"/>
              <w:spacing w:before="0" w:after="283"/>
              <w:jc w:val="left"/>
              <w:rPr/>
            </w:pPr>
            <w:r>
              <w:rPr/>
              <w:t> </w:t>
            </w:r>
          </w:p>
        </w:tc>
        <w:tc>
          <w:tcPr>
            <w:tcW w:w="7039"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7039" w:type="dxa"/>
            <w:gridSpan w:val="2"/>
            <w:tcBorders/>
            <w:vAlign w:val="center"/>
          </w:tcPr>
          <w:p>
            <w:pPr>
              <w:pStyle w:val="TableContents"/>
              <w:bidi w:val="0"/>
              <w:spacing w:before="0" w:after="0"/>
              <w:jc w:val="left"/>
              <w:rPr/>
            </w:pPr>
            <w:r>
              <w:rPr/>
              <w:t>Cravath, Swaine &amp; Moore LLP</w:t>
            </w:r>
          </w:p>
        </w:tc>
      </w:tr>
      <w:tr>
        <w:trPr/>
        <w:tc>
          <w:tcPr>
            <w:tcW w:w="60" w:type="dxa"/>
            <w:tcBorders/>
            <w:vAlign w:val="center"/>
          </w:tcPr>
          <w:p>
            <w:pPr>
              <w:pStyle w:val="TableContents"/>
              <w:bidi w:val="0"/>
              <w:spacing w:before="0" w:after="283"/>
              <w:jc w:val="left"/>
              <w:rPr/>
            </w:pPr>
            <w:r>
              <w:rPr/>
              <w:t> </w:t>
            </w:r>
          </w:p>
        </w:tc>
        <w:tc>
          <w:tcPr>
            <w:tcW w:w="7039" w:type="dxa"/>
            <w:gridSpan w:val="2"/>
            <w:tcBorders/>
            <w:vAlign w:val="center"/>
          </w:tcPr>
          <w:p>
            <w:pPr>
              <w:pStyle w:val="TableContents"/>
              <w:bidi w:val="0"/>
              <w:spacing w:before="0" w:after="0"/>
              <w:jc w:val="left"/>
              <w:rPr/>
            </w:pPr>
            <w:r>
              <w:rPr/>
              <w:t>Two Manhattan West</w:t>
            </w:r>
          </w:p>
        </w:tc>
      </w:tr>
      <w:tr>
        <w:trPr/>
        <w:tc>
          <w:tcPr>
            <w:tcW w:w="60" w:type="dxa"/>
            <w:tcBorders/>
            <w:vAlign w:val="center"/>
          </w:tcPr>
          <w:p>
            <w:pPr>
              <w:pStyle w:val="TableContents"/>
              <w:bidi w:val="0"/>
              <w:spacing w:before="0" w:after="283"/>
              <w:jc w:val="left"/>
              <w:rPr/>
            </w:pPr>
            <w:r>
              <w:rPr/>
              <w:t> </w:t>
            </w:r>
          </w:p>
        </w:tc>
        <w:tc>
          <w:tcPr>
            <w:tcW w:w="7039" w:type="dxa"/>
            <w:gridSpan w:val="2"/>
            <w:tcBorders/>
            <w:vAlign w:val="center"/>
          </w:tcPr>
          <w:p>
            <w:pPr>
              <w:pStyle w:val="TableContents"/>
              <w:bidi w:val="0"/>
              <w:spacing w:before="0" w:after="0"/>
              <w:jc w:val="left"/>
              <w:rPr/>
            </w:pPr>
            <w:r>
              <w:rPr/>
              <w:t>375 Ninth Avenue</w:t>
            </w:r>
          </w:p>
        </w:tc>
      </w:tr>
      <w:tr>
        <w:trPr/>
        <w:tc>
          <w:tcPr>
            <w:tcW w:w="60" w:type="dxa"/>
            <w:tcBorders/>
            <w:vAlign w:val="center"/>
          </w:tcPr>
          <w:p>
            <w:pPr>
              <w:pStyle w:val="TableContents"/>
              <w:bidi w:val="0"/>
              <w:spacing w:before="0" w:after="283"/>
              <w:jc w:val="left"/>
              <w:rPr/>
            </w:pPr>
            <w:r>
              <w:rPr/>
              <w:t> </w:t>
            </w:r>
          </w:p>
        </w:tc>
        <w:tc>
          <w:tcPr>
            <w:tcW w:w="7039" w:type="dxa"/>
            <w:gridSpan w:val="2"/>
            <w:tcBorders/>
            <w:vAlign w:val="center"/>
          </w:tcPr>
          <w:p>
            <w:pPr>
              <w:pStyle w:val="TableContents"/>
              <w:bidi w:val="0"/>
              <w:spacing w:before="0" w:after="0"/>
              <w:jc w:val="left"/>
              <w:rPr/>
            </w:pPr>
            <w:r>
              <w:rPr/>
              <w:t>New York, NY 10001</w:t>
            </w:r>
          </w:p>
        </w:tc>
      </w:tr>
      <w:tr>
        <w:trPr/>
        <w:tc>
          <w:tcPr>
            <w:tcW w:w="60" w:type="dxa"/>
            <w:tcBorders/>
            <w:vAlign w:val="center"/>
          </w:tcPr>
          <w:p>
            <w:pPr>
              <w:pStyle w:val="TableContents"/>
              <w:bidi w:val="0"/>
              <w:spacing w:before="0" w:after="283"/>
              <w:jc w:val="left"/>
              <w:rPr/>
            </w:pPr>
            <w:r>
              <w:rPr/>
              <w:t> </w:t>
            </w:r>
          </w:p>
        </w:tc>
        <w:tc>
          <w:tcPr>
            <w:tcW w:w="2397" w:type="dxa"/>
            <w:tcBorders/>
            <w:vAlign w:val="center"/>
          </w:tcPr>
          <w:p>
            <w:pPr>
              <w:pStyle w:val="TableContents"/>
              <w:bidi w:val="0"/>
              <w:spacing w:before="0" w:after="0"/>
              <w:jc w:val="left"/>
              <w:rPr/>
            </w:pPr>
            <w:r>
              <w:rPr/>
              <w:t xml:space="preserve">Attention: </w:t>
            </w:r>
          </w:p>
        </w:tc>
        <w:tc>
          <w:tcPr>
            <w:tcW w:w="4642" w:type="dxa"/>
            <w:tcBorders/>
            <w:vAlign w:val="center"/>
          </w:tcPr>
          <w:p>
            <w:pPr>
              <w:pStyle w:val="TableContents"/>
              <w:bidi w:val="0"/>
              <w:spacing w:before="0" w:after="283"/>
              <w:jc w:val="left"/>
              <w:rPr/>
            </w:pPr>
            <w:r>
              <w:rPr/>
              <w:t>Minh Van Ngo</w:t>
            </w:r>
          </w:p>
        </w:tc>
      </w:tr>
      <w:tr>
        <w:trPr/>
        <w:tc>
          <w:tcPr>
            <w:tcW w:w="60" w:type="dxa"/>
            <w:tcBorders/>
            <w:vAlign w:val="center"/>
          </w:tcPr>
          <w:p>
            <w:pPr>
              <w:pStyle w:val="TableContents"/>
              <w:bidi w:val="0"/>
              <w:spacing w:before="0" w:after="283"/>
              <w:jc w:val="left"/>
              <w:rPr/>
            </w:pPr>
            <w:r>
              <w:rPr/>
              <w:t> </w:t>
            </w:r>
          </w:p>
        </w:tc>
        <w:tc>
          <w:tcPr>
            <w:tcW w:w="2397" w:type="dxa"/>
            <w:tcBorders/>
            <w:vAlign w:val="center"/>
          </w:tcPr>
          <w:p>
            <w:pPr>
              <w:pStyle w:val="TableContents"/>
              <w:bidi w:val="0"/>
              <w:spacing w:before="0" w:after="283"/>
              <w:jc w:val="left"/>
              <w:rPr/>
            </w:pPr>
            <w:r>
              <w:rPr/>
              <w:t> </w:t>
            </w:r>
          </w:p>
        </w:tc>
        <w:tc>
          <w:tcPr>
            <w:tcW w:w="4642" w:type="dxa"/>
            <w:tcBorders/>
            <w:vAlign w:val="center"/>
          </w:tcPr>
          <w:p>
            <w:pPr>
              <w:pStyle w:val="TableContents"/>
              <w:bidi w:val="0"/>
              <w:spacing w:before="0" w:after="283"/>
              <w:jc w:val="left"/>
              <w:rPr/>
            </w:pPr>
            <w:r>
              <w:rPr/>
              <w:t>Andrew M. Wark</w:t>
            </w:r>
          </w:p>
        </w:tc>
      </w:tr>
      <w:tr>
        <w:trPr/>
        <w:tc>
          <w:tcPr>
            <w:tcW w:w="60" w:type="dxa"/>
            <w:tcBorders/>
            <w:vAlign w:val="center"/>
          </w:tcPr>
          <w:p>
            <w:pPr>
              <w:pStyle w:val="TableContents"/>
              <w:bidi w:val="0"/>
              <w:spacing w:before="0" w:after="283"/>
              <w:jc w:val="left"/>
              <w:rPr/>
            </w:pPr>
            <w:r>
              <w:rPr/>
              <w:t> </w:t>
            </w:r>
          </w:p>
        </w:tc>
        <w:tc>
          <w:tcPr>
            <w:tcW w:w="2397" w:type="dxa"/>
            <w:tcBorders/>
            <w:vAlign w:val="center"/>
          </w:tcPr>
          <w:p>
            <w:pPr>
              <w:pStyle w:val="TableContents"/>
              <w:bidi w:val="0"/>
              <w:spacing w:before="0" w:after="283"/>
              <w:jc w:val="left"/>
              <w:rPr/>
            </w:pPr>
            <w:r>
              <w:rPr/>
              <w:t>Email:</w:t>
            </w:r>
          </w:p>
        </w:tc>
        <w:tc>
          <w:tcPr>
            <w:tcW w:w="4642" w:type="dxa"/>
            <w:tcBorders/>
            <w:shd w:fill="FFFFFF" w:val="clear"/>
            <w:vAlign w:val="center"/>
          </w:tcPr>
          <w:p>
            <w:pPr>
              <w:pStyle w:val="TableContents"/>
              <w:bidi w:val="0"/>
              <w:spacing w:before="0" w:after="283"/>
              <w:jc w:val="left"/>
              <w:rPr>
                <w:b w:val="false"/>
                <w:i w:val="false"/>
                <w:caps w:val="false"/>
                <w:smallCaps w:val="false"/>
                <w:color w:val="0000FF"/>
                <w:u w:val="single"/>
              </w:rPr>
            </w:pPr>
            <w:r>
              <w:rPr>
                <w:b w:val="false"/>
                <w:i w:val="false"/>
                <w:caps w:val="false"/>
                <w:smallCaps w:val="false"/>
                <w:color w:val="0000FF"/>
                <w:u w:val="single"/>
              </w:rPr>
              <w:t>mngo@cravath.com</w:t>
            </w:r>
          </w:p>
        </w:tc>
      </w:tr>
      <w:tr>
        <w:trPr/>
        <w:tc>
          <w:tcPr>
            <w:tcW w:w="60" w:type="dxa"/>
            <w:tcBorders/>
            <w:vAlign w:val="center"/>
          </w:tcPr>
          <w:p>
            <w:pPr>
              <w:pStyle w:val="TableContents"/>
              <w:bidi w:val="0"/>
              <w:spacing w:before="0" w:after="283"/>
              <w:jc w:val="left"/>
              <w:rPr/>
            </w:pPr>
            <w:r>
              <w:rPr/>
              <w:t> </w:t>
            </w:r>
          </w:p>
        </w:tc>
        <w:tc>
          <w:tcPr>
            <w:tcW w:w="2397" w:type="dxa"/>
            <w:tcBorders/>
            <w:vAlign w:val="center"/>
          </w:tcPr>
          <w:p>
            <w:pPr>
              <w:pStyle w:val="TableContents"/>
              <w:bidi w:val="0"/>
              <w:spacing w:before="0" w:after="283"/>
              <w:jc w:val="left"/>
              <w:rPr/>
            </w:pPr>
            <w:r>
              <w:rPr/>
              <w:t> </w:t>
            </w:r>
          </w:p>
        </w:tc>
        <w:tc>
          <w:tcPr>
            <w:tcW w:w="4642" w:type="dxa"/>
            <w:tcBorders/>
            <w:shd w:fill="FFFFFF" w:val="clear"/>
            <w:vAlign w:val="center"/>
          </w:tcPr>
          <w:p>
            <w:pPr>
              <w:pStyle w:val="TableContents"/>
              <w:bidi w:val="0"/>
              <w:spacing w:before="0" w:after="283"/>
              <w:jc w:val="left"/>
              <w:rPr>
                <w:b w:val="false"/>
                <w:i w:val="false"/>
                <w:caps w:val="false"/>
                <w:smallCaps w:val="false"/>
                <w:color w:val="0000FF"/>
                <w:u w:val="single"/>
              </w:rPr>
            </w:pPr>
            <w:r>
              <w:rPr>
                <w:b w:val="false"/>
                <w:i w:val="false"/>
                <w:caps w:val="false"/>
                <w:smallCaps w:val="false"/>
                <w:color w:val="0000FF"/>
                <w:u w:val="single"/>
              </w:rPr>
              <w:t>awark@cravath.com</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or such other address or email address as such party may hereafter specify by like notice to the other parties hereto.  All such notices, requests and other communications shall be in writing and shall be deemed to have been received on the earliest of (i) the date when personally delivered, (ii) the date when transmitted via electronic e-mail address (unless an automated message indicating non-delivery is received with respect thereto) or (iii) the next succeeding Business Day following the day on which the same has been delivered prepaid to a reputable national overnight air courier service.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5.02</w:t>
      </w:r>
      <w:r>
        <w:rPr>
          <w:rFonts w:ascii="Times New Roman" w:hAnsi="Times New Roman"/>
          <w:color w:val="000000"/>
          <w:sz w:val="20"/>
        </w:rPr>
        <w:t>          </w:t>
      </w:r>
      <w:r>
        <w:rPr>
          <w:rFonts w:ascii="Times New Roman" w:hAnsi="Times New Roman"/>
          <w:color w:val="000000"/>
          <w:sz w:val="20"/>
          <w:u w:val="single"/>
        </w:rPr>
        <w:t>Severability</w:t>
      </w:r>
      <w:r>
        <w:rPr>
          <w:rFonts w:ascii="Times New Roman" w:hAnsi="Times New Roman"/>
          <w:color w:val="000000"/>
          <w:sz w:val="20"/>
        </w:rPr>
        <w:t>.  If any term, condition or other provision of this Agreement is determined by a court of competent jurisdiction to be invalid, illegal or incapable of being enforced by any rule of Law or public policy (as determined by a final judgement), all other terms, provisions and conditions of this Agreement shall nevertheless remain in full force and effect.  Upon such determination that any term, condition or other provision is invalid, illegal or incapable of being enforced, the parties hereto shall negotiate in good faith to modify this Agreement so as to effect the original intent of the parties as closely as possible to the fullest extent permitted by applicable Law.</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5.03</w:t>
      </w:r>
      <w:r>
        <w:rPr>
          <w:rFonts w:ascii="Times New Roman" w:hAnsi="Times New Roman"/>
          <w:color w:val="000000"/>
          <w:sz w:val="20"/>
        </w:rPr>
        <w:t>          </w:t>
      </w:r>
      <w:r>
        <w:rPr>
          <w:rFonts w:ascii="Times New Roman" w:hAnsi="Times New Roman"/>
          <w:color w:val="000000"/>
          <w:sz w:val="20"/>
          <w:u w:val="single"/>
        </w:rPr>
        <w:t>Assignment</w:t>
      </w:r>
      <w:r>
        <w:rPr>
          <w:rFonts w:ascii="Times New Roman" w:hAnsi="Times New Roman"/>
          <w:color w:val="000000"/>
          <w:sz w:val="20"/>
        </w:rPr>
        <w:t xml:space="preserve">.  Neither this Agreement nor any of the rights, interests or obligations hereunder shall be assigned by any of the parties hereto, in whole or in part, by operation of law or otherwise, except (a) by any Holder (i) with the prior written consent of Parent or (ii) to a transferee of such Holder’s Shares in accordance with </w:t>
      </w:r>
      <w:r>
        <w:rPr>
          <w:rFonts w:ascii="Times New Roman" w:hAnsi="Times New Roman"/>
          <w:color w:val="000000"/>
          <w:sz w:val="20"/>
          <w:u w:val="single"/>
        </w:rPr>
        <w:t>Section 4.03</w:t>
      </w:r>
      <w:r>
        <w:rPr>
          <w:rFonts w:ascii="Times New Roman" w:hAnsi="Times New Roman"/>
          <w:color w:val="000000"/>
          <w:sz w:val="20"/>
        </w:rPr>
        <w:t xml:space="preserve">, or (b) by Parent (i) to any of Parent’s Affiliates or (ii) with the prior written consent of a majority (in terms of aggregate voting power) of the Subject Shares of the Holders; </w:t>
      </w:r>
      <w:r>
        <w:rPr>
          <w:rFonts w:ascii="Times New Roman" w:hAnsi="Times New Roman"/>
          <w:color w:val="000000"/>
          <w:sz w:val="20"/>
          <w:u w:val="single"/>
        </w:rPr>
        <w:t>provided</w:t>
      </w:r>
      <w:r>
        <w:rPr>
          <w:rFonts w:ascii="Times New Roman" w:hAnsi="Times New Roman"/>
          <w:color w:val="000000"/>
          <w:sz w:val="20"/>
        </w:rPr>
        <w:t xml:space="preserve">, that, in the case of </w:t>
      </w:r>
      <w:r>
        <w:rPr>
          <w:rFonts w:ascii="Times New Roman" w:hAnsi="Times New Roman"/>
          <w:color w:val="000000"/>
          <w:sz w:val="20"/>
          <w:u w:val="single"/>
        </w:rPr>
        <w:t>clauses (a)</w:t>
      </w:r>
      <w:r>
        <w:rPr>
          <w:rFonts w:ascii="Times New Roman" w:hAnsi="Times New Roman"/>
          <w:color w:val="000000"/>
          <w:sz w:val="20"/>
        </w:rPr>
        <w:t xml:space="preserve"> and </w:t>
      </w:r>
      <w:r>
        <w:rPr>
          <w:rFonts w:ascii="Times New Roman" w:hAnsi="Times New Roman"/>
          <w:color w:val="000000"/>
          <w:sz w:val="20"/>
          <w:u w:val="single"/>
        </w:rPr>
        <w:t>(b)</w:t>
      </w:r>
      <w:r>
        <w:rPr>
          <w:rFonts w:ascii="Times New Roman" w:hAnsi="Times New Roman"/>
          <w:color w:val="000000"/>
          <w:sz w:val="20"/>
        </w:rPr>
        <w:t xml:space="preserve">, any such assignment will not relieve the assigning party of its obligations under this Agreement.  Any assignment in contravention of the preceding sentence shall be null and void </w:t>
      </w:r>
      <w:r>
        <w:rPr>
          <w:rFonts w:ascii="Times New Roman" w:hAnsi="Times New Roman"/>
          <w:i/>
          <w:color w:val="000000"/>
          <w:sz w:val="20"/>
        </w:rPr>
        <w:t>ab initio</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5.04</w:t>
      </w:r>
      <w:r>
        <w:rPr>
          <w:rFonts w:ascii="Times New Roman" w:hAnsi="Times New Roman"/>
          <w:color w:val="000000"/>
          <w:sz w:val="20"/>
        </w:rPr>
        <w:t>          </w:t>
      </w:r>
      <w:r>
        <w:rPr>
          <w:rFonts w:ascii="Times New Roman" w:hAnsi="Times New Roman"/>
          <w:color w:val="000000"/>
          <w:sz w:val="20"/>
          <w:u w:val="single"/>
        </w:rPr>
        <w:t>Entire Agreement; No Third Party Beneficiaries</w:t>
      </w:r>
      <w:r>
        <w:rPr>
          <w:rFonts w:ascii="Times New Roman" w:hAnsi="Times New Roman"/>
          <w:color w:val="000000"/>
          <w:sz w:val="20"/>
        </w:rPr>
        <w:t xml:space="preserve">.  This Agreement (including </w:t>
      </w:r>
      <w:r>
        <w:rPr>
          <w:rFonts w:ascii="Times New Roman" w:hAnsi="Times New Roman"/>
          <w:color w:val="000000"/>
          <w:sz w:val="20"/>
          <w:u w:val="single"/>
        </w:rPr>
        <w:t>Schedule A</w:t>
      </w:r>
      <w:r>
        <w:rPr>
          <w:rFonts w:ascii="Times New Roman" w:hAnsi="Times New Roman"/>
          <w:color w:val="000000"/>
          <w:sz w:val="20"/>
        </w:rPr>
        <w:t xml:space="preserve"> and the other documents delivered pursuant hereto) constitutes the entire agreement and supersedes all prior representations, conditions, agreements and understandings, both written and oral, among the parties hereto and their Affiliates, or any of them, with respect to the subject matter hereof.  This Agreement is not intended to confer upon any Person, other than the parties hereto, any rights or remedies hereunder, including the right to rely upon the representations and warranties set forth herein; </w:t>
      </w:r>
      <w:r>
        <w:rPr>
          <w:rFonts w:ascii="Times New Roman" w:hAnsi="Times New Roman"/>
          <w:color w:val="000000"/>
          <w:sz w:val="20"/>
          <w:u w:val="single"/>
        </w:rPr>
        <w:t>provided</w:t>
      </w:r>
      <w:r>
        <w:rPr>
          <w:rFonts w:ascii="Times New Roman" w:hAnsi="Times New Roman"/>
          <w:color w:val="000000"/>
          <w:sz w:val="20"/>
        </w:rPr>
        <w:t xml:space="preserve">, that, the Company shall be a third-party beneficiary of, and entitled to enforce the provisions of, </w:t>
      </w:r>
      <w:r>
        <w:rPr>
          <w:rFonts w:ascii="Times New Roman" w:hAnsi="Times New Roman"/>
          <w:color w:val="000000"/>
          <w:sz w:val="20"/>
          <w:u w:val="single"/>
        </w:rPr>
        <w:t>Section 4.09</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5.05</w:t>
      </w:r>
      <w:r>
        <w:rPr>
          <w:rFonts w:ascii="Times New Roman" w:hAnsi="Times New Roman"/>
          <w:color w:val="000000"/>
          <w:sz w:val="20"/>
        </w:rPr>
        <w:t>          </w:t>
      </w:r>
      <w:r>
        <w:rPr>
          <w:rFonts w:ascii="Times New Roman" w:hAnsi="Times New Roman"/>
          <w:color w:val="000000"/>
          <w:sz w:val="20"/>
          <w:u w:val="single"/>
        </w:rPr>
        <w:t>Governing Law</w:t>
      </w:r>
      <w:r>
        <w:rPr>
          <w:rFonts w:ascii="Times New Roman" w:hAnsi="Times New Roman"/>
          <w:color w:val="000000"/>
          <w:sz w:val="20"/>
        </w:rPr>
        <w:t>.  This Agreement, and all claims or causes of action (whether in contract or tort) that may be based upon, arise out of or relate to this Agreement, shall be governed by, and construed in accordance with, the Laws of the State of Delaware applicable to contracts executed in and to be performed entirely within that State, regardless of the Laws that might otherwise govern under any applicable conflict of Laws principles.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5.06</w:t>
      </w:r>
      <w:r>
        <w:rPr>
          <w:rFonts w:ascii="Times New Roman" w:hAnsi="Times New Roman"/>
          <w:color w:val="000000"/>
          <w:sz w:val="20"/>
        </w:rPr>
        <w:t>          </w:t>
      </w:r>
      <w:r>
        <w:rPr>
          <w:rFonts w:ascii="Times New Roman" w:hAnsi="Times New Roman"/>
          <w:color w:val="000000"/>
          <w:sz w:val="20"/>
          <w:u w:val="single"/>
        </w:rPr>
        <w:t>Counterparts</w:t>
      </w:r>
      <w:r>
        <w:rPr>
          <w:rFonts w:ascii="Times New Roman" w:hAnsi="Times New Roman"/>
          <w:color w:val="000000"/>
          <w:sz w:val="20"/>
        </w:rPr>
        <w:t>.  This Agreement may be executed in one or more counterparts (including by electronic signature, PDF or electronic mail with .pdf attachments), each of which shall be deemed to be an original but all of which taken together shall constitute one and the same agreement, and shall become effective when one or more counterparts have been signed by each of the parties hereto and delivered to the other parties hereto.</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5.07</w:t>
      </w:r>
      <w:r>
        <w:rPr>
          <w:rFonts w:ascii="Times New Roman" w:hAnsi="Times New Roman"/>
          <w:color w:val="000000"/>
          <w:sz w:val="20"/>
        </w:rPr>
        <w:t>          </w:t>
      </w:r>
      <w:r>
        <w:rPr>
          <w:rFonts w:ascii="Times New Roman" w:hAnsi="Times New Roman"/>
          <w:color w:val="000000"/>
          <w:sz w:val="20"/>
          <w:u w:val="single"/>
        </w:rPr>
        <w:t>Jurisdiction; Service of Process</w:t>
      </w:r>
      <w:r>
        <w:rPr>
          <w:rFonts w:ascii="Times New Roman" w:hAnsi="Times New Roman"/>
          <w:color w:val="000000"/>
          <w:sz w:val="20"/>
        </w:rPr>
        <w:t xml:space="preserve">.  The parties hereto agree that any action or proceeding seeking to enforce any provision of, or based on any matter arising out of or in connection with, this Agreement or the transactions contemplated by this Agreement shall be brought exclusively in the Court of Chancery of the State of Delaware (or, if the Court of Chancery of the State of Delaware declines to accept jurisdiction over any action or proceeding, any state or federal court within the State of Delaware).  Each party hereto hereby irrevocably submits to the exclusive jurisdiction of each such court in respect of any legal or equitable action, suit or proceeding arising out of or relating to this Agreement or the transactions contemplated by this Agreement, or relating to enforcement of any of the terms of this Agreement, and hereby irrevocably waives, and agrees not to assert, as a defense in any such action, suit or proceeding, any claim that it is not subject personally to the jurisdiction of such court, that the action, suit or proceeding is brought in an inconvenient forum, that the venue of the action, suit or proceeding is improper or that this Agreement or the transactions contemplated by this Agreement may not be enforced in or by such courts.  Each party hereto agrees that notice or the service of process upon such party in any action, suit or proceeding arising out of or relating to this Agreement or the transactions contemplated by this Agreement shall be properly served or delivered if delivered in the manner contemplated by </w:t>
      </w:r>
      <w:r>
        <w:rPr>
          <w:rFonts w:ascii="Times New Roman" w:hAnsi="Times New Roman"/>
          <w:color w:val="000000"/>
          <w:sz w:val="20"/>
          <w:u w:val="single"/>
        </w:rPr>
        <w:t>Section 5.01</w:t>
      </w:r>
      <w:r>
        <w:rPr>
          <w:rFonts w:ascii="Times New Roman" w:hAnsi="Times New Roman"/>
          <w:color w:val="000000"/>
          <w:sz w:val="20"/>
        </w:rPr>
        <w:t xml:space="preserve"> or in any other manner permitted by law.</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5.08</w:t>
      </w:r>
      <w:r>
        <w:rPr>
          <w:rFonts w:ascii="Times New Roman" w:hAnsi="Times New Roman"/>
          <w:color w:val="000000"/>
          <w:sz w:val="20"/>
        </w:rPr>
        <w:t>          </w:t>
      </w:r>
      <w:r>
        <w:rPr>
          <w:rFonts w:ascii="Times New Roman" w:hAnsi="Times New Roman"/>
          <w:color w:val="000000"/>
          <w:sz w:val="20"/>
          <w:u w:val="single"/>
        </w:rPr>
        <w:t>Waiver of Jury Trial</w:t>
      </w:r>
      <w:r>
        <w:rPr>
          <w:rFonts w:ascii="Times New Roman" w:hAnsi="Times New Roman"/>
          <w:color w:val="000000"/>
          <w:sz w:val="20"/>
        </w:rPr>
        <w:t xml:space="preserve">.  EACH PARTY HERETO ACKNOWLEDGES AND AGREES THAT ANY CONTROVERSY WHICH MAY ARISE UNDER THIS AGREEMENT IS LIKELY TO INVOLVE COMPLICATED AND DIFFICULT ISSUES, AND THEREFORE SUCH PARTY HEREBY IRREVOCABLY AND UNCONDITIONALLY WAIVES, TO THE FULLEST EXTENT PERMITTED BY APPLICABLE LAW, ANY RIGHT SUCH PARTY MAY HAVE TO A TRIAL BY JURY IN RESPECT OF ANY LITIGATION DIRECTLY OR INDIRECTLY ARISING OUT OF OR RELATING TO THIS AGREEMENT AND ANY OF THE AGREEMENTS DELIVERED IN CONNECTION HEREWITH OR THE TRANSACTIONS CONTEMPLATED HEREBY.  EACH PARTY CERTIFIES AND ACKNOWLEDGES THAT (A) NO REPRESENTATIVE, AGENT OR ATTORNEY OF ANY OTHER PARTY HAS REPRESENTED, EXPRESSLY OR OTHERWISE, THAT SUCH OTHER PARTY WOULD NOT, IN THE EVENT OF LITIGATION, SEEK TO ENFORCE THE FOREGOING WAIVER, (B) SUCH PARTY UNDERSTANDS AND HAS CONSIDERED THE IMPLICATIONS OF SUCH WAIVER, (C) SUCH PARTY MAKES SUCH WAIVER VOLUNTARILY AND (D) SUCH PARTY HAS BEEN INDUCED TO ENTER INTO THIS AGREEMENT BY, AMONG OTHER THINGS, THE MUTUAL WAIVER AND CERTIFICATIONS IN THIS </w:t>
      </w:r>
      <w:r>
        <w:rPr>
          <w:rFonts w:ascii="Times New Roman" w:hAnsi="Times New Roman"/>
          <w:color w:val="000000"/>
          <w:sz w:val="20"/>
          <w:u w:val="single"/>
        </w:rPr>
        <w:t>SECTION 5.08</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10000"/>
          <w:sz w:val="20"/>
        </w:rPr>
        <w:t>Section 5.09</w:t>
      </w:r>
      <w:r>
        <w:rPr>
          <w:rFonts w:ascii="Times New Roman" w:hAnsi="Times New Roman"/>
          <w:color w:val="000000"/>
          <w:sz w:val="20"/>
        </w:rPr>
        <w:t>          </w:t>
      </w:r>
      <w:r>
        <w:rPr>
          <w:rFonts w:ascii="Times New Roman" w:hAnsi="Times New Roman"/>
          <w:color w:val="000000"/>
          <w:sz w:val="20"/>
          <w:u w:val="single"/>
        </w:rPr>
        <w:t>Specific Performance</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(a)</w:t>
      </w:r>
      <w:r>
        <w:rPr>
          <w:rFonts w:ascii="Times New Roman" w:hAnsi="Times New Roman"/>
          <w:color w:val="000000"/>
          <w:sz w:val="20"/>
        </w:rPr>
        <w:t>          The parties hereto acknowledge and agree that, in the event of any breach of this Agreement, irreparable harm would occur that monetary damages could not make whole.  It is accordingly agreed that (i) each party hereto shall be entitled, in addition to any other remedy to which it may be entitled at law or in equity, to compel specific performance to prevent or restrain breaches or threatened breaches of this Agreement and to enforce specifically the terms and provisions hereof in any action without the posting of a bond or undertaking, and (ii) the parties hereto shall, and hereby do, waive, in any action for specific performance, the defense of adequacy of a remedy at law and any other objections to specific performance of this Agreement, including any requirement for the securing or posting of any bond in connection with such remedy.</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(b)</w:t>
      </w:r>
      <w:r>
        <w:rPr>
          <w:rFonts w:ascii="Times New Roman" w:hAnsi="Times New Roman"/>
          <w:color w:val="000000"/>
          <w:sz w:val="20"/>
        </w:rPr>
        <w:t xml:space="preserve">          Notwithstanding the parties’ rights to specific performance pursuant to </w:t>
      </w:r>
      <w:r>
        <w:rPr>
          <w:rFonts w:ascii="Times New Roman" w:hAnsi="Times New Roman"/>
          <w:color w:val="000000"/>
          <w:sz w:val="20"/>
          <w:u w:val="single"/>
        </w:rPr>
        <w:t>Section 5.09(a)</w:t>
      </w:r>
      <w:r>
        <w:rPr>
          <w:rFonts w:ascii="Times New Roman" w:hAnsi="Times New Roman"/>
          <w:color w:val="000000"/>
          <w:sz w:val="20"/>
        </w:rPr>
        <w:t>, each party may pursue any other remedy available to it at law or in equity, including monetary damages.  Any and all remedies herein expressly conferred upon a party hereto will be deemed cumulative with and not exclusive of any other remedy conferred hereby, or by law or equity upon such party, and the exercise by a party hereto of any one remedy will not preclude the exercise of any other remedy.</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10000"/>
          <w:sz w:val="20"/>
        </w:rPr>
        <w:t>Section 5.10</w:t>
      </w:r>
      <w:r>
        <w:rPr>
          <w:rFonts w:ascii="Times New Roman" w:hAnsi="Times New Roman"/>
          <w:color w:val="000000"/>
          <w:sz w:val="20"/>
        </w:rPr>
        <w:t>          </w:t>
      </w:r>
      <w:r>
        <w:rPr>
          <w:rFonts w:ascii="Times New Roman" w:hAnsi="Times New Roman"/>
          <w:color w:val="000000"/>
          <w:sz w:val="20"/>
          <w:u w:val="single"/>
        </w:rPr>
        <w:t>Amendment; Waiver</w:t>
      </w:r>
      <w:r>
        <w:rPr>
          <w:rFonts w:ascii="Times New Roman" w:hAnsi="Times New Roman"/>
          <w:color w:val="000000"/>
          <w:sz w:val="20"/>
        </w:rPr>
        <w:t>.  This Agreement may not be amended except by an instrument in writing signed by the parties hereto prior to the Effective Time.  The failure of any party to assert any rights or remedies under this Agreement will not constitute a waiver of such rights or remedies.  Any extension or waiver with respect to this Agreement will be valid only if set forth in an instrument in writing signed by the party or parties to be bound thereby.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5.11</w:t>
      </w:r>
      <w:r>
        <w:rPr>
          <w:rFonts w:ascii="Times New Roman" w:hAnsi="Times New Roman"/>
          <w:color w:val="000000"/>
          <w:sz w:val="20"/>
        </w:rPr>
        <w:t>          </w:t>
      </w:r>
      <w:r>
        <w:rPr>
          <w:rFonts w:ascii="Times New Roman" w:hAnsi="Times New Roman"/>
          <w:color w:val="000000"/>
          <w:sz w:val="20"/>
          <w:u w:val="single"/>
        </w:rPr>
        <w:t>Expenses</w:t>
      </w:r>
      <w:r>
        <w:rPr>
          <w:rFonts w:ascii="Times New Roman" w:hAnsi="Times New Roman"/>
          <w:color w:val="000000"/>
          <w:sz w:val="20"/>
        </w:rPr>
        <w:t>.  Except as set forth herein or the Merger Agreement, each of the parties shall be responsible for its own fees and expenses (including the fees and expenses of investment bankers and accountants) in connection with the entering into and performance under this Agreement and the consummation of the transactions contemplated hereby.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5.12</w:t>
      </w:r>
      <w:r>
        <w:rPr>
          <w:rFonts w:ascii="Times New Roman" w:hAnsi="Times New Roman"/>
          <w:color w:val="000000"/>
          <w:sz w:val="20"/>
        </w:rPr>
        <w:t>          </w:t>
      </w:r>
      <w:r>
        <w:rPr>
          <w:rFonts w:ascii="Times New Roman" w:hAnsi="Times New Roman"/>
          <w:color w:val="000000"/>
          <w:sz w:val="20"/>
          <w:u w:val="single"/>
        </w:rPr>
        <w:t>Further Assurances</w:t>
      </w:r>
      <w:r>
        <w:rPr>
          <w:rFonts w:ascii="Times New Roman" w:hAnsi="Times New Roman"/>
          <w:color w:val="000000"/>
          <w:sz w:val="20"/>
        </w:rPr>
        <w:t>.  Each Holder hereby covenants and agrees to execute and deliver any additional documents reasonably necessary or desirable to carry out the purpose and intent of this Agreement and the Merger Agreement.</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10000"/>
          <w:sz w:val="20"/>
        </w:rPr>
        <w:t>Section 5.13</w:t>
      </w:r>
      <w:r>
        <w:rPr>
          <w:rFonts w:ascii="Times New Roman" w:hAnsi="Times New Roman"/>
          <w:color w:val="000000"/>
          <w:sz w:val="20"/>
        </w:rPr>
        <w:t>          </w:t>
      </w:r>
      <w:r>
        <w:rPr>
          <w:rFonts w:ascii="Times New Roman" w:hAnsi="Times New Roman"/>
          <w:color w:val="000000"/>
          <w:sz w:val="20"/>
          <w:u w:val="single"/>
        </w:rPr>
        <w:t>Termination</w:t>
      </w:r>
      <w:r>
        <w:rPr>
          <w:rFonts w:ascii="Times New Roman" w:hAnsi="Times New Roman"/>
          <w:color w:val="000000"/>
          <w:sz w:val="20"/>
        </w:rPr>
        <w:t xml:space="preserve">.  This Agreement and all obligations of the parties hereto hereunder shall automatically terminate, without further action by any party hereto, upon the earliest of (a) the Effective Time, (b) the valid termination of the Merger Agreement in accordance with its terms, (c) with respect to any Holder, the mutual written agreement of such Holder and Parent and (d) the entry, without the prior written consent of the Holders, into any material modification or amendment to the Merger Agreement that reduces the amount, changes the form or otherwise adversely affects the consideration payable to the Holders pursuant to the Merger Agreement as in effect on the date hereof (the date on which termination would occur pursuant to any of the foregoing </w:t>
      </w:r>
      <w:r>
        <w:rPr>
          <w:rFonts w:ascii="Times New Roman" w:hAnsi="Times New Roman"/>
          <w:color w:val="000000"/>
          <w:sz w:val="20"/>
          <w:u w:val="single"/>
        </w:rPr>
        <w:t>clauses (a)</w:t>
      </w:r>
      <w:r>
        <w:rPr>
          <w:rFonts w:ascii="Times New Roman" w:hAnsi="Times New Roman"/>
          <w:color w:val="000000"/>
          <w:sz w:val="20"/>
        </w:rPr>
        <w:t xml:space="preserve"> through </w:t>
      </w:r>
      <w:r>
        <w:rPr>
          <w:rFonts w:ascii="Times New Roman" w:hAnsi="Times New Roman"/>
          <w:color w:val="000000"/>
          <w:sz w:val="20"/>
          <w:u w:val="single"/>
        </w:rPr>
        <w:t>(d)</w:t>
      </w:r>
      <w:r>
        <w:rPr>
          <w:rFonts w:ascii="Times New Roman" w:hAnsi="Times New Roman"/>
          <w:color w:val="000000"/>
          <w:sz w:val="20"/>
        </w:rPr>
        <w:t>, the “</w:t>
      </w:r>
      <w:r>
        <w:rPr>
          <w:rFonts w:ascii="Times New Roman" w:hAnsi="Times New Roman"/>
          <w:color w:val="000000"/>
          <w:sz w:val="20"/>
          <w:u w:val="single"/>
        </w:rPr>
        <w:t>Termination Date</w:t>
      </w:r>
      <w:r>
        <w:rPr>
          <w:rFonts w:ascii="Times New Roman" w:hAnsi="Times New Roman"/>
          <w:color w:val="000000"/>
          <w:sz w:val="20"/>
        </w:rPr>
        <w:t xml:space="preserve">”).  In the event of any such termination of this Agreement, this Agreement shall forthwith become null and void and have no effect, without any liability or obligation on the part of Parent or the applicable Holders, other than liability for any knowing intentional and material breach of this Agreement prior to such Termination Date; </w:t>
      </w:r>
      <w:r>
        <w:rPr>
          <w:rFonts w:ascii="Times New Roman" w:hAnsi="Times New Roman"/>
          <w:color w:val="000000"/>
          <w:sz w:val="20"/>
          <w:u w:val="single"/>
        </w:rPr>
        <w:t>provided</w:t>
      </w:r>
      <w:r>
        <w:rPr>
          <w:rFonts w:ascii="Times New Roman" w:hAnsi="Times New Roman"/>
          <w:color w:val="000000"/>
          <w:sz w:val="20"/>
        </w:rPr>
        <w:t xml:space="preserve">, that the provisions set forth in </w:t>
      </w:r>
      <w:r>
        <w:rPr>
          <w:rFonts w:ascii="Times New Roman" w:hAnsi="Times New Roman"/>
          <w:color w:val="000000"/>
          <w:sz w:val="20"/>
          <w:u w:val="single"/>
        </w:rPr>
        <w:t>Article V</w:t>
      </w:r>
      <w:r>
        <w:rPr>
          <w:rFonts w:ascii="Times New Roman" w:hAnsi="Times New Roman"/>
          <w:color w:val="000000"/>
          <w:sz w:val="20"/>
        </w:rPr>
        <w:t xml:space="preserve"> shall survive the termination of this Agreement.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r>
        <w:rPr>
          <w:rFonts w:ascii="Times New Roman" w:hAnsi="Times New Roman"/>
          <w:i/>
          <w:color w:val="000000"/>
          <w:sz w:val="20"/>
        </w:rPr>
        <w:t>Signature Pages Follow</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IN WITNESS WHEREOF, the parties have duly executed this Agreement, all as of the date first written above.</w:t>
      </w:r>
    </w:p>
    <w:p>
      <w:pPr>
        <w:pStyle w:val="TextBody"/>
        <w:bidi w:val="0"/>
        <w:spacing w:before="0" w:after="0"/>
        <w:ind w:left="4320" w:right="0" w:hanging="0"/>
        <w:jc w:val="left"/>
        <w:rPr>
          <w:b/>
        </w:rPr>
      </w:pPr>
      <w:r>
        <w:rPr>
          <w:b/>
        </w:rPr>
      </w:r>
    </w:p>
    <w:p>
      <w:pPr>
        <w:pStyle w:val="Normal"/>
        <w:bidi w:val="0"/>
        <w:spacing w:before="0" w:after="0"/>
        <w:jc w:val="left"/>
        <w:rPr>
          <w:sz w:val="4"/>
          <w:szCs w:val="4"/>
        </w:rPr>
      </w:pPr>
      <w:r>
        <w:rPr>
          <w:sz w:val="4"/>
          <w:szCs w:val="4"/>
        </w:rPr>
      </w:r>
      <w:bookmarkStart w:id="22" w:name="zffd72b6b129549749e14a1a603b04ec7"/>
      <w:bookmarkStart w:id="23" w:name="zffd72b6b129549749e14a1a603b04ec7"/>
      <w:bookmarkEnd w:id="23"/>
    </w:p>
    <w:tbl>
      <w:tblPr>
        <w:tblW w:w="4608" w:type="dxa"/>
        <w:jc w:val="left"/>
        <w:tblInd w:w="0" w:type="dxa"/>
        <w:tblLayout w:type="fixed"/>
        <w:tblCellMar>
          <w:top w:w="0" w:type="dxa"/>
          <w:left w:w="0" w:type="dxa"/>
          <w:bottom w:w="0" w:type="dxa"/>
          <w:right w:w="0" w:type="dxa"/>
        </w:tblCellMar>
      </w:tblPr>
      <w:tblGrid>
        <w:gridCol w:w="60"/>
        <w:gridCol w:w="580"/>
        <w:gridCol w:w="888"/>
        <w:gridCol w:w="3020"/>
        <w:gridCol w:w="60"/>
      </w:tblGrid>
      <w:tr>
        <w:trPr/>
        <w:tc>
          <w:tcPr>
            <w:tcW w:w="60" w:type="dxa"/>
            <w:tcBorders/>
          </w:tcPr>
          <w:p>
            <w:pPr>
              <w:pStyle w:val="TableContents"/>
              <w:bidi w:val="0"/>
              <w:spacing w:before="0" w:after="283"/>
              <w:jc w:val="left"/>
              <w:rPr/>
            </w:pPr>
            <w:r>
              <w:rPr/>
              <w:t> </w:t>
            </w:r>
          </w:p>
        </w:tc>
        <w:tc>
          <w:tcPr>
            <w:tcW w:w="4488" w:type="dxa"/>
            <w:gridSpan w:val="3"/>
            <w:tcBorders/>
          </w:tcPr>
          <w:p>
            <w:pPr>
              <w:pStyle w:val="TableContents"/>
              <w:bidi w:val="0"/>
              <w:spacing w:before="0" w:after="283"/>
              <w:jc w:val="left"/>
              <w:rPr>
                <w:b/>
              </w:rPr>
            </w:pPr>
            <w:r>
              <w:rPr>
                <w:b/>
              </w:rPr>
              <w:t>UNIVERSAL HEALTH SERVICES, INC.</w:t>
            </w:r>
          </w:p>
        </w:tc>
        <w:tc>
          <w:tcPr>
            <w:tcW w:w="60" w:type="dxa"/>
            <w:tcBorders/>
          </w:tcPr>
          <w:p>
            <w:pPr>
              <w:pStyle w:val="TableContents"/>
              <w:bidi w:val="0"/>
              <w:spacing w:before="0" w:after="283"/>
              <w:jc w:val="left"/>
              <w:rPr/>
            </w:pPr>
            <w:r>
              <w:rPr/>
              <w:t> </w:t>
            </w:r>
          </w:p>
        </w:tc>
      </w:tr>
      <w:tr>
        <w:trPr/>
        <w:tc>
          <w:tcPr>
            <w:tcW w:w="60" w:type="dxa"/>
            <w:tcBorders/>
          </w:tcPr>
          <w:p>
            <w:pPr>
              <w:pStyle w:val="TableContents"/>
              <w:bidi w:val="0"/>
              <w:spacing w:before="0" w:after="283"/>
              <w:jc w:val="left"/>
              <w:rPr/>
            </w:pPr>
            <w:r>
              <w:rPr/>
              <w:t> </w:t>
            </w:r>
          </w:p>
        </w:tc>
        <w:tc>
          <w:tcPr>
            <w:tcW w:w="580" w:type="dxa"/>
            <w:tcBorders/>
          </w:tcPr>
          <w:p>
            <w:pPr>
              <w:pStyle w:val="TableContents"/>
              <w:bidi w:val="0"/>
              <w:spacing w:before="0" w:after="283"/>
              <w:jc w:val="left"/>
              <w:rPr/>
            </w:pPr>
            <w:r>
              <w:rPr/>
              <w:t> </w:t>
            </w:r>
          </w:p>
        </w:tc>
        <w:tc>
          <w:tcPr>
            <w:tcW w:w="3908" w:type="dxa"/>
            <w:gridSpan w:val="2"/>
            <w:tcBorders/>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r>
      <w:tr>
        <w:trPr/>
        <w:tc>
          <w:tcPr>
            <w:tcW w:w="60" w:type="dxa"/>
            <w:tcBorders/>
          </w:tcPr>
          <w:p>
            <w:pPr>
              <w:pStyle w:val="TableContents"/>
              <w:bidi w:val="0"/>
              <w:spacing w:before="0" w:after="283"/>
              <w:jc w:val="left"/>
              <w:rPr/>
            </w:pPr>
            <w:r>
              <w:rPr/>
            </w:r>
          </w:p>
        </w:tc>
        <w:tc>
          <w:tcPr>
            <w:tcW w:w="580" w:type="dxa"/>
            <w:tcBorders/>
          </w:tcPr>
          <w:p>
            <w:pPr>
              <w:pStyle w:val="TableContents"/>
              <w:bidi w:val="0"/>
              <w:spacing w:before="0" w:after="0"/>
              <w:ind w:left="0" w:right="0" w:hanging="0"/>
              <w:jc w:val="left"/>
              <w:rPr/>
            </w:pPr>
            <w:r>
              <w:rPr/>
              <w:t xml:space="preserve">By: </w:t>
            </w:r>
          </w:p>
        </w:tc>
        <w:tc>
          <w:tcPr>
            <w:tcW w:w="3908" w:type="dxa"/>
            <w:gridSpan w:val="2"/>
            <w:tcBorders>
              <w:bottom w:val="single" w:sz="12" w:space="0" w:color="000000"/>
            </w:tcBorders>
            <w:tcMar>
              <w:bottom w:w="28" w:type="dxa"/>
            </w:tcMar>
          </w:tcPr>
          <w:p>
            <w:pPr>
              <w:pStyle w:val="TableContents"/>
              <w:bidi w:val="0"/>
              <w:spacing w:before="0" w:after="283"/>
              <w:jc w:val="left"/>
              <w:rPr/>
            </w:pPr>
            <w:r>
              <w:rPr/>
              <w:t xml:space="preserve">/s/ Steve Filton </w:t>
            </w:r>
          </w:p>
        </w:tc>
        <w:tc>
          <w:tcPr>
            <w:tcW w:w="60" w:type="dxa"/>
            <w:tcBorders/>
          </w:tcPr>
          <w:p>
            <w:pPr>
              <w:pStyle w:val="TableContents"/>
              <w:bidi w:val="0"/>
              <w:spacing w:before="0" w:after="283"/>
              <w:jc w:val="left"/>
              <w:rPr/>
            </w:pPr>
            <w:r>
              <w:rPr/>
              <w:t> </w:t>
            </w:r>
          </w:p>
        </w:tc>
      </w:tr>
      <w:tr>
        <w:trPr/>
        <w:tc>
          <w:tcPr>
            <w:tcW w:w="60" w:type="dxa"/>
            <w:tcBorders/>
          </w:tcPr>
          <w:p>
            <w:pPr>
              <w:pStyle w:val="TableContents"/>
              <w:bidi w:val="0"/>
              <w:spacing w:before="0" w:after="283"/>
              <w:jc w:val="left"/>
              <w:rPr/>
            </w:pPr>
            <w:r>
              <w:rPr/>
              <w:t> </w:t>
            </w:r>
          </w:p>
        </w:tc>
        <w:tc>
          <w:tcPr>
            <w:tcW w:w="580" w:type="dxa"/>
            <w:tcBorders/>
          </w:tcPr>
          <w:p>
            <w:pPr>
              <w:pStyle w:val="TableContents"/>
              <w:bidi w:val="0"/>
              <w:spacing w:before="0" w:after="283"/>
              <w:jc w:val="left"/>
              <w:rPr/>
            </w:pPr>
            <w:r>
              <w:rPr/>
              <w:t> </w:t>
            </w:r>
          </w:p>
        </w:tc>
        <w:tc>
          <w:tcPr>
            <w:tcW w:w="888" w:type="dxa"/>
            <w:tcBorders/>
            <w:vAlign w:val="bottom"/>
          </w:tcPr>
          <w:p>
            <w:pPr>
              <w:pStyle w:val="TableContents"/>
              <w:bidi w:val="0"/>
              <w:spacing w:before="0" w:after="283"/>
              <w:jc w:val="left"/>
              <w:rPr/>
            </w:pPr>
            <w:r>
              <w:rPr/>
              <w:t>Name:</w:t>
            </w:r>
          </w:p>
        </w:tc>
        <w:tc>
          <w:tcPr>
            <w:tcW w:w="3020" w:type="dxa"/>
            <w:tcBorders/>
            <w:vAlign w:val="bottom"/>
          </w:tcPr>
          <w:p>
            <w:pPr>
              <w:pStyle w:val="TableContents"/>
              <w:bidi w:val="0"/>
              <w:spacing w:before="0" w:after="283"/>
              <w:jc w:val="left"/>
              <w:rPr/>
            </w:pPr>
            <w:r>
              <w:rPr/>
              <w:t>Steve Filton</w:t>
            </w:r>
          </w:p>
        </w:tc>
        <w:tc>
          <w:tcPr>
            <w:tcW w:w="60" w:type="dxa"/>
            <w:tcBorders/>
          </w:tcPr>
          <w:p>
            <w:pPr>
              <w:pStyle w:val="TableContents"/>
              <w:bidi w:val="0"/>
              <w:spacing w:before="0" w:after="283"/>
              <w:jc w:val="left"/>
              <w:rPr/>
            </w:pPr>
            <w:r>
              <w:rPr/>
              <w:t> </w:t>
            </w:r>
          </w:p>
        </w:tc>
      </w:tr>
      <w:tr>
        <w:trPr/>
        <w:tc>
          <w:tcPr>
            <w:tcW w:w="60" w:type="dxa"/>
            <w:tcBorders/>
          </w:tcPr>
          <w:p>
            <w:pPr>
              <w:pStyle w:val="TableContents"/>
              <w:bidi w:val="0"/>
              <w:spacing w:before="0" w:after="283"/>
              <w:jc w:val="left"/>
              <w:rPr/>
            </w:pPr>
            <w:r>
              <w:rPr/>
              <w:t> </w:t>
            </w:r>
          </w:p>
        </w:tc>
        <w:tc>
          <w:tcPr>
            <w:tcW w:w="580" w:type="dxa"/>
            <w:tcBorders/>
          </w:tcPr>
          <w:p>
            <w:pPr>
              <w:pStyle w:val="TableContents"/>
              <w:bidi w:val="0"/>
              <w:spacing w:before="0" w:after="283"/>
              <w:jc w:val="left"/>
              <w:rPr/>
            </w:pPr>
            <w:r>
              <w:rPr/>
              <w:t> </w:t>
            </w:r>
          </w:p>
        </w:tc>
        <w:tc>
          <w:tcPr>
            <w:tcW w:w="888" w:type="dxa"/>
            <w:tcBorders/>
          </w:tcPr>
          <w:p>
            <w:pPr>
              <w:pStyle w:val="TableContents"/>
              <w:bidi w:val="0"/>
              <w:spacing w:before="0" w:after="283"/>
              <w:jc w:val="left"/>
              <w:rPr/>
            </w:pPr>
            <w:r>
              <w:rPr/>
              <w:t>Title:</w:t>
            </w:r>
          </w:p>
        </w:tc>
        <w:tc>
          <w:tcPr>
            <w:tcW w:w="3020" w:type="dxa"/>
            <w:tcBorders/>
          </w:tcPr>
          <w:p>
            <w:pPr>
              <w:pStyle w:val="TableContents"/>
              <w:bidi w:val="0"/>
              <w:spacing w:before="0" w:after="283"/>
              <w:jc w:val="left"/>
              <w:rPr/>
            </w:pPr>
            <w:r>
              <w:rPr/>
              <w:t>Chief Financial Officer</w:t>
            </w:r>
          </w:p>
        </w:tc>
        <w:tc>
          <w:tcPr>
            <w:tcW w:w="60" w:type="dxa"/>
            <w:tcBorders/>
          </w:tcPr>
          <w:p>
            <w:pPr>
              <w:pStyle w:val="TableContents"/>
              <w:bidi w:val="0"/>
              <w:spacing w:before="0" w:after="283"/>
              <w:jc w:val="left"/>
              <w:rPr/>
            </w:pPr>
            <w:r>
              <w:rPr/>
              <w:t> </w:t>
            </w:r>
          </w:p>
        </w:tc>
      </w:tr>
      <w:tr>
        <w:trPr/>
        <w:tc>
          <w:tcPr>
            <w:tcW w:w="60" w:type="dxa"/>
            <w:tcBorders/>
          </w:tcPr>
          <w:p>
            <w:pPr>
              <w:pStyle w:val="TableContents"/>
              <w:bidi w:val="0"/>
              <w:spacing w:before="0" w:after="283"/>
              <w:jc w:val="left"/>
              <w:rPr/>
            </w:pPr>
            <w:r>
              <w:rPr/>
              <w:t> </w:t>
            </w:r>
          </w:p>
        </w:tc>
        <w:tc>
          <w:tcPr>
            <w:tcW w:w="580" w:type="dxa"/>
            <w:tcBorders/>
          </w:tcPr>
          <w:p>
            <w:pPr>
              <w:pStyle w:val="TableContents"/>
              <w:bidi w:val="0"/>
              <w:spacing w:before="0" w:after="283"/>
              <w:jc w:val="left"/>
              <w:rPr/>
            </w:pPr>
            <w:r>
              <w:rPr/>
              <w:t> </w:t>
            </w:r>
          </w:p>
        </w:tc>
        <w:tc>
          <w:tcPr>
            <w:tcW w:w="3908" w:type="dxa"/>
            <w:gridSpan w:val="2"/>
            <w:tcBorders/>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[Signature Page to Voting Agreement]</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ind w:left="4320" w:right="0" w:hanging="0"/>
        <w:jc w:val="left"/>
        <w:rPr>
          <w:b/>
        </w:rPr>
      </w:pPr>
      <w:r>
        <w:rPr>
          <w:b/>
        </w:rPr>
      </w:r>
    </w:p>
    <w:p>
      <w:pPr>
        <w:pStyle w:val="Normal"/>
        <w:bidi w:val="0"/>
        <w:spacing w:before="0" w:after="0"/>
        <w:jc w:val="left"/>
        <w:rPr>
          <w:sz w:val="4"/>
          <w:szCs w:val="4"/>
        </w:rPr>
      </w:pPr>
      <w:r>
        <w:rPr>
          <w:sz w:val="4"/>
          <w:szCs w:val="4"/>
        </w:rPr>
      </w:r>
      <w:bookmarkStart w:id="24" w:name="z790e2f2b2e874641883548871570549c"/>
      <w:bookmarkStart w:id="25" w:name="z790e2f2b2e874641883548871570549c"/>
      <w:bookmarkEnd w:id="25"/>
    </w:p>
    <w:tbl>
      <w:tblPr>
        <w:tblW w:w="7159" w:type="dxa"/>
        <w:jc w:val="left"/>
        <w:tblInd w:w="0" w:type="dxa"/>
        <w:tblLayout w:type="fixed"/>
        <w:tblCellMar>
          <w:top w:w="0" w:type="dxa"/>
          <w:left w:w="0" w:type="dxa"/>
          <w:bottom w:w="0" w:type="dxa"/>
          <w:right w:w="0" w:type="dxa"/>
        </w:tblCellMar>
      </w:tblPr>
      <w:tblGrid>
        <w:gridCol w:w="60"/>
        <w:gridCol w:w="923"/>
        <w:gridCol w:w="1412"/>
        <w:gridCol w:w="4704"/>
        <w:gridCol w:w="60"/>
      </w:tblGrid>
      <w:tr>
        <w:trPr/>
        <w:tc>
          <w:tcPr>
            <w:tcW w:w="60" w:type="dxa"/>
            <w:tcBorders/>
          </w:tcPr>
          <w:p>
            <w:pPr>
              <w:pStyle w:val="TableContents"/>
              <w:bidi w:val="0"/>
              <w:spacing w:before="0" w:after="283"/>
              <w:jc w:val="left"/>
              <w:rPr/>
            </w:pPr>
            <w:r>
              <w:rPr/>
              <w:t> </w:t>
            </w:r>
          </w:p>
        </w:tc>
        <w:tc>
          <w:tcPr>
            <w:tcW w:w="7039" w:type="dxa"/>
            <w:gridSpan w:val="3"/>
            <w:tcBorders/>
          </w:tcPr>
          <w:p>
            <w:pPr>
              <w:pStyle w:val="TableContents"/>
              <w:bidi w:val="0"/>
              <w:spacing w:before="0" w:after="0"/>
              <w:jc w:val="left"/>
              <w:rPr>
                <w:b/>
              </w:rPr>
            </w:pPr>
            <w:r>
              <w:rPr>
                <w:b/>
              </w:rPr>
              <w:t>HOLDERS:</w:t>
            </w:r>
          </w:p>
          <w:p>
            <w:pPr>
              <w:pStyle w:val="TableContents"/>
              <w:bidi w:val="0"/>
              <w:spacing w:before="0" w:after="0"/>
              <w:jc w:val="left"/>
              <w:rPr/>
            </w:pPr>
            <w:r>
              <w:rPr/>
            </w:r>
          </w:p>
          <w:p>
            <w:pPr>
              <w:pStyle w:val="TableContents"/>
              <w:bidi w:val="0"/>
              <w:spacing w:before="0" w:after="0"/>
              <w:jc w:val="left"/>
              <w:rPr>
                <w:b/>
              </w:rPr>
            </w:pPr>
            <w:r>
              <w:rPr>
                <w:b/>
              </w:rPr>
              <w:t>HEC MASTER FUND LP</w:t>
            </w:r>
          </w:p>
          <w:p>
            <w:pPr>
              <w:pStyle w:val="TableContents"/>
              <w:bidi w:val="0"/>
              <w:spacing w:before="0" w:after="0"/>
              <w:jc w:val="left"/>
              <w:rPr/>
            </w:pPr>
            <w:r>
              <w:rPr/>
            </w:r>
          </w:p>
          <w:p>
            <w:pPr>
              <w:pStyle w:val="TableContents"/>
              <w:bidi w:val="0"/>
              <w:spacing w:before="0" w:after="0"/>
              <w:jc w:val="left"/>
              <w:rPr>
                <w:b/>
              </w:rPr>
            </w:pPr>
            <w:r>
              <w:rPr>
                <w:b/>
              </w:rPr>
              <w:t>BY: HEC PERFORMANCE GP LLC, ITS GENERAL PARTNER</w:t>
            </w:r>
          </w:p>
          <w:p>
            <w:pPr>
              <w:pStyle w:val="TableContents"/>
              <w:bidi w:val="0"/>
              <w:spacing w:before="0" w:after="0"/>
              <w:jc w:val="left"/>
              <w:rPr/>
            </w:pPr>
            <w:r>
              <w:rPr/>
            </w:r>
          </w:p>
          <w:p>
            <w:pPr>
              <w:pStyle w:val="TableContents"/>
              <w:bidi w:val="0"/>
              <w:spacing w:before="0" w:after="0"/>
              <w:jc w:val="left"/>
              <w:rPr>
                <w:b/>
              </w:rPr>
            </w:pPr>
            <w:r>
              <w:rPr>
                <w:b/>
              </w:rPr>
              <w:t>BY: HEC MANAGEMENT GP LLC, ITS MANAGING MEMBER</w:t>
            </w:r>
          </w:p>
          <w:p>
            <w:pPr>
              <w:pStyle w:val="TableContents"/>
              <w:bidi w:val="0"/>
              <w:spacing w:before="0" w:after="0"/>
              <w:jc w:val="left"/>
              <w:rPr/>
            </w:pPr>
            <w:r>
              <w:rPr/>
            </w:r>
          </w:p>
          <w:p>
            <w:pPr>
              <w:pStyle w:val="TableContents"/>
              <w:bidi w:val="0"/>
              <w:spacing w:before="0" w:after="0"/>
              <w:jc w:val="left"/>
              <w:rPr>
                <w:b/>
              </w:rPr>
            </w:pPr>
            <w:r>
              <w:rPr>
                <w:b/>
              </w:rPr>
              <w:t>BY: DOUGLAS L. BRAUNSTEIN, ITS MANAGING MEMBER</w:t>
            </w:r>
          </w:p>
        </w:tc>
        <w:tc>
          <w:tcPr>
            <w:tcW w:w="60" w:type="dxa"/>
            <w:tcBorders/>
          </w:tcPr>
          <w:p>
            <w:pPr>
              <w:pStyle w:val="TableContents"/>
              <w:bidi w:val="0"/>
              <w:spacing w:before="0" w:after="283"/>
              <w:jc w:val="left"/>
              <w:rPr/>
            </w:pPr>
            <w:r>
              <w:rPr/>
              <w:t> </w:t>
            </w:r>
          </w:p>
        </w:tc>
      </w:tr>
      <w:tr>
        <w:trPr/>
        <w:tc>
          <w:tcPr>
            <w:tcW w:w="60" w:type="dxa"/>
            <w:tcBorders/>
          </w:tcPr>
          <w:p>
            <w:pPr>
              <w:pStyle w:val="TableContents"/>
              <w:bidi w:val="0"/>
              <w:spacing w:before="0" w:after="283"/>
              <w:jc w:val="left"/>
              <w:rPr/>
            </w:pPr>
            <w:r>
              <w:rPr/>
              <w:t> </w:t>
            </w:r>
          </w:p>
        </w:tc>
        <w:tc>
          <w:tcPr>
            <w:tcW w:w="923" w:type="dxa"/>
            <w:tcBorders/>
          </w:tcPr>
          <w:p>
            <w:pPr>
              <w:pStyle w:val="TableContents"/>
              <w:bidi w:val="0"/>
              <w:spacing w:before="0" w:after="283"/>
              <w:jc w:val="left"/>
              <w:rPr/>
            </w:pPr>
            <w:r>
              <w:rPr/>
              <w:t> </w:t>
            </w:r>
          </w:p>
        </w:tc>
        <w:tc>
          <w:tcPr>
            <w:tcW w:w="6116" w:type="dxa"/>
            <w:gridSpan w:val="2"/>
            <w:tcBorders/>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r>
      <w:tr>
        <w:trPr/>
        <w:tc>
          <w:tcPr>
            <w:tcW w:w="60" w:type="dxa"/>
            <w:tcBorders/>
          </w:tcPr>
          <w:p>
            <w:pPr>
              <w:pStyle w:val="TableContents"/>
              <w:bidi w:val="0"/>
              <w:spacing w:before="0" w:after="283"/>
              <w:jc w:val="left"/>
              <w:rPr/>
            </w:pPr>
            <w:r>
              <w:rPr/>
            </w:r>
          </w:p>
        </w:tc>
        <w:tc>
          <w:tcPr>
            <w:tcW w:w="923" w:type="dxa"/>
            <w:tcBorders/>
          </w:tcPr>
          <w:p>
            <w:pPr>
              <w:pStyle w:val="TableContents"/>
              <w:bidi w:val="0"/>
              <w:spacing w:before="0" w:after="0"/>
              <w:ind w:left="0" w:right="0" w:hanging="0"/>
              <w:jc w:val="left"/>
              <w:rPr/>
            </w:pPr>
            <w:r>
              <w:rPr/>
              <w:t xml:space="preserve">By: </w:t>
            </w:r>
          </w:p>
        </w:tc>
        <w:tc>
          <w:tcPr>
            <w:tcW w:w="6116" w:type="dxa"/>
            <w:gridSpan w:val="2"/>
            <w:tcBorders>
              <w:bottom w:val="single" w:sz="12" w:space="0" w:color="000000"/>
            </w:tcBorders>
            <w:tcMar>
              <w:bottom w:w="28" w:type="dxa"/>
            </w:tcMar>
          </w:tcPr>
          <w:p>
            <w:pPr>
              <w:pStyle w:val="TableContents"/>
              <w:bidi w:val="0"/>
              <w:spacing w:before="0" w:after="283"/>
              <w:jc w:val="left"/>
              <w:rPr/>
            </w:pPr>
            <w:r>
              <w:rPr/>
              <w:t>/s/ Douglas L. Braunstein</w:t>
            </w:r>
          </w:p>
        </w:tc>
        <w:tc>
          <w:tcPr>
            <w:tcW w:w="60" w:type="dxa"/>
            <w:tcBorders/>
          </w:tcPr>
          <w:p>
            <w:pPr>
              <w:pStyle w:val="TableContents"/>
              <w:bidi w:val="0"/>
              <w:spacing w:before="0" w:after="283"/>
              <w:jc w:val="left"/>
              <w:rPr/>
            </w:pPr>
            <w:r>
              <w:rPr/>
              <w:t> </w:t>
            </w:r>
          </w:p>
        </w:tc>
      </w:tr>
      <w:tr>
        <w:trPr/>
        <w:tc>
          <w:tcPr>
            <w:tcW w:w="60" w:type="dxa"/>
            <w:tcBorders/>
          </w:tcPr>
          <w:p>
            <w:pPr>
              <w:pStyle w:val="TableContents"/>
              <w:bidi w:val="0"/>
              <w:spacing w:before="0" w:after="283"/>
              <w:jc w:val="left"/>
              <w:rPr/>
            </w:pPr>
            <w:r>
              <w:rPr/>
              <w:t> </w:t>
            </w:r>
          </w:p>
        </w:tc>
        <w:tc>
          <w:tcPr>
            <w:tcW w:w="923" w:type="dxa"/>
            <w:tcBorders/>
          </w:tcPr>
          <w:p>
            <w:pPr>
              <w:pStyle w:val="TableContents"/>
              <w:bidi w:val="0"/>
              <w:spacing w:before="0" w:after="283"/>
              <w:jc w:val="left"/>
              <w:rPr/>
            </w:pPr>
            <w:r>
              <w:rPr/>
              <w:t> </w:t>
            </w:r>
          </w:p>
        </w:tc>
        <w:tc>
          <w:tcPr>
            <w:tcW w:w="1412" w:type="dxa"/>
            <w:tcBorders/>
            <w:vAlign w:val="bottom"/>
          </w:tcPr>
          <w:p>
            <w:pPr>
              <w:pStyle w:val="TableContents"/>
              <w:bidi w:val="0"/>
              <w:spacing w:before="0" w:after="283"/>
              <w:jc w:val="left"/>
              <w:rPr/>
            </w:pPr>
            <w:r>
              <w:rPr/>
              <w:t>Name:</w:t>
            </w:r>
          </w:p>
        </w:tc>
        <w:tc>
          <w:tcPr>
            <w:tcW w:w="4704" w:type="dxa"/>
            <w:tcBorders/>
            <w:vAlign w:val="bottom"/>
          </w:tcPr>
          <w:p>
            <w:pPr>
              <w:pStyle w:val="TableContents"/>
              <w:bidi w:val="0"/>
              <w:spacing w:before="0" w:after="283"/>
              <w:jc w:val="left"/>
              <w:rPr/>
            </w:pPr>
            <w:r>
              <w:rPr/>
              <w:t>Douglas L. Braunstein</w:t>
            </w:r>
          </w:p>
        </w:tc>
        <w:tc>
          <w:tcPr>
            <w:tcW w:w="60" w:type="dxa"/>
            <w:tcBorders/>
          </w:tcPr>
          <w:p>
            <w:pPr>
              <w:pStyle w:val="TableContents"/>
              <w:bidi w:val="0"/>
              <w:spacing w:before="0" w:after="283"/>
              <w:jc w:val="left"/>
              <w:rPr/>
            </w:pPr>
            <w:r>
              <w:rPr/>
              <w:t> </w:t>
            </w:r>
          </w:p>
        </w:tc>
      </w:tr>
      <w:tr>
        <w:trPr/>
        <w:tc>
          <w:tcPr>
            <w:tcW w:w="60" w:type="dxa"/>
            <w:tcBorders/>
          </w:tcPr>
          <w:p>
            <w:pPr>
              <w:pStyle w:val="TableContents"/>
              <w:bidi w:val="0"/>
              <w:spacing w:before="0" w:after="283"/>
              <w:jc w:val="left"/>
              <w:rPr/>
            </w:pPr>
            <w:r>
              <w:rPr/>
              <w:t> </w:t>
            </w:r>
          </w:p>
        </w:tc>
        <w:tc>
          <w:tcPr>
            <w:tcW w:w="923" w:type="dxa"/>
            <w:tcBorders/>
          </w:tcPr>
          <w:p>
            <w:pPr>
              <w:pStyle w:val="TableContents"/>
              <w:bidi w:val="0"/>
              <w:spacing w:before="0" w:after="283"/>
              <w:jc w:val="left"/>
              <w:rPr/>
            </w:pPr>
            <w:r>
              <w:rPr/>
              <w:t> </w:t>
            </w:r>
          </w:p>
        </w:tc>
        <w:tc>
          <w:tcPr>
            <w:tcW w:w="1412" w:type="dxa"/>
            <w:tcBorders/>
          </w:tcPr>
          <w:p>
            <w:pPr>
              <w:pStyle w:val="TableContents"/>
              <w:bidi w:val="0"/>
              <w:spacing w:before="0" w:after="283"/>
              <w:jc w:val="left"/>
              <w:rPr/>
            </w:pPr>
            <w:r>
              <w:rPr/>
            </w:r>
          </w:p>
        </w:tc>
        <w:tc>
          <w:tcPr>
            <w:tcW w:w="4704" w:type="dxa"/>
            <w:tcBorders/>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r>
    </w:tbl>
    <w:p>
      <w:pPr>
        <w:pStyle w:val="TextBody"/>
        <w:bidi w:val="0"/>
        <w:spacing w:before="0" w:after="0"/>
        <w:ind w:left="4320" w:right="0" w:hanging="0"/>
        <w:jc w:val="left"/>
        <w:rPr>
          <w:b/>
        </w:rPr>
      </w:pPr>
      <w:r>
        <w:rPr>
          <w:b/>
        </w:rPr>
      </w:r>
    </w:p>
    <w:p>
      <w:pPr>
        <w:pStyle w:val="Normal"/>
        <w:bidi w:val="0"/>
        <w:spacing w:before="0" w:after="0"/>
        <w:jc w:val="left"/>
        <w:rPr>
          <w:sz w:val="4"/>
          <w:szCs w:val="4"/>
        </w:rPr>
      </w:pPr>
      <w:r>
        <w:rPr>
          <w:sz w:val="4"/>
          <w:szCs w:val="4"/>
        </w:rPr>
      </w:r>
      <w:bookmarkStart w:id="26" w:name="zd1d36933ba5b4c39a00b135d327a911c"/>
      <w:bookmarkStart w:id="27" w:name="zd1d36933ba5b4c39a00b135d327a911c"/>
      <w:bookmarkEnd w:id="27"/>
    </w:p>
    <w:tbl>
      <w:tblPr>
        <w:tblW w:w="3360" w:type="dxa"/>
        <w:jc w:val="left"/>
        <w:tblInd w:w="0" w:type="dxa"/>
        <w:tblLayout w:type="fixed"/>
        <w:tblCellMar>
          <w:top w:w="0" w:type="dxa"/>
          <w:left w:w="0" w:type="dxa"/>
          <w:bottom w:w="0" w:type="dxa"/>
          <w:right w:w="0" w:type="dxa"/>
        </w:tblCellMar>
      </w:tblPr>
      <w:tblGrid>
        <w:gridCol w:w="60"/>
        <w:gridCol w:w="425"/>
        <w:gridCol w:w="650"/>
        <w:gridCol w:w="2165"/>
        <w:gridCol w:w="60"/>
      </w:tblGrid>
      <w:tr>
        <w:trPr/>
        <w:tc>
          <w:tcPr>
            <w:tcW w:w="60" w:type="dxa"/>
            <w:tcBorders/>
          </w:tcPr>
          <w:p>
            <w:pPr>
              <w:pStyle w:val="TableContents"/>
              <w:bidi w:val="0"/>
              <w:spacing w:before="0" w:after="283"/>
              <w:jc w:val="left"/>
              <w:rPr/>
            </w:pPr>
            <w:r>
              <w:rPr/>
              <w:t> </w:t>
            </w:r>
          </w:p>
        </w:tc>
        <w:tc>
          <w:tcPr>
            <w:tcW w:w="3240" w:type="dxa"/>
            <w:gridSpan w:val="3"/>
            <w:tcBorders/>
          </w:tcPr>
          <w:p>
            <w:pPr>
              <w:pStyle w:val="TableContents"/>
              <w:bidi w:val="0"/>
              <w:spacing w:before="0" w:after="0"/>
              <w:jc w:val="left"/>
              <w:rPr>
                <w:b/>
              </w:rPr>
            </w:pPr>
            <w:r>
              <w:rPr>
                <w:b/>
              </w:rPr>
              <w:t>DOUGLAS L. BRAUNSTEIN</w:t>
            </w:r>
          </w:p>
        </w:tc>
        <w:tc>
          <w:tcPr>
            <w:tcW w:w="60" w:type="dxa"/>
            <w:tcBorders/>
          </w:tcPr>
          <w:p>
            <w:pPr>
              <w:pStyle w:val="TableContents"/>
              <w:bidi w:val="0"/>
              <w:spacing w:before="0" w:after="283"/>
              <w:jc w:val="left"/>
              <w:rPr/>
            </w:pPr>
            <w:r>
              <w:rPr/>
              <w:t> </w:t>
            </w:r>
          </w:p>
        </w:tc>
      </w:tr>
      <w:tr>
        <w:trPr/>
        <w:tc>
          <w:tcPr>
            <w:tcW w:w="60" w:type="dxa"/>
            <w:tcBorders/>
          </w:tcPr>
          <w:p>
            <w:pPr>
              <w:pStyle w:val="TableContents"/>
              <w:bidi w:val="0"/>
              <w:spacing w:before="0" w:after="283"/>
              <w:jc w:val="left"/>
              <w:rPr/>
            </w:pPr>
            <w:r>
              <w:rPr/>
              <w:t> </w:t>
            </w:r>
          </w:p>
        </w:tc>
        <w:tc>
          <w:tcPr>
            <w:tcW w:w="425" w:type="dxa"/>
            <w:tcBorders/>
          </w:tcPr>
          <w:p>
            <w:pPr>
              <w:pStyle w:val="TableContents"/>
              <w:bidi w:val="0"/>
              <w:spacing w:before="0" w:after="283"/>
              <w:jc w:val="left"/>
              <w:rPr/>
            </w:pPr>
            <w:r>
              <w:rPr/>
              <w:t> </w:t>
            </w:r>
          </w:p>
        </w:tc>
        <w:tc>
          <w:tcPr>
            <w:tcW w:w="2815" w:type="dxa"/>
            <w:gridSpan w:val="2"/>
            <w:tcBorders/>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r>
      <w:tr>
        <w:trPr/>
        <w:tc>
          <w:tcPr>
            <w:tcW w:w="60" w:type="dxa"/>
            <w:tcBorders/>
          </w:tcPr>
          <w:p>
            <w:pPr>
              <w:pStyle w:val="TableContents"/>
              <w:bidi w:val="0"/>
              <w:spacing w:before="0" w:after="283"/>
              <w:jc w:val="left"/>
              <w:rPr/>
            </w:pPr>
            <w:r>
              <w:rPr/>
            </w:r>
          </w:p>
        </w:tc>
        <w:tc>
          <w:tcPr>
            <w:tcW w:w="425" w:type="dxa"/>
            <w:tcBorders/>
          </w:tcPr>
          <w:p>
            <w:pPr>
              <w:pStyle w:val="TableContents"/>
              <w:bidi w:val="0"/>
              <w:spacing w:before="0" w:after="0"/>
              <w:ind w:left="0" w:right="0" w:hanging="0"/>
              <w:jc w:val="left"/>
              <w:rPr/>
            </w:pPr>
            <w:r>
              <w:rPr/>
              <w:t xml:space="preserve">By: </w:t>
            </w:r>
          </w:p>
        </w:tc>
        <w:tc>
          <w:tcPr>
            <w:tcW w:w="2815" w:type="dxa"/>
            <w:gridSpan w:val="2"/>
            <w:tcBorders>
              <w:bottom w:val="single" w:sz="12" w:space="0" w:color="000000"/>
            </w:tcBorders>
            <w:tcMar>
              <w:bottom w:w="28" w:type="dxa"/>
            </w:tcMar>
          </w:tcPr>
          <w:p>
            <w:pPr>
              <w:pStyle w:val="TableContents"/>
              <w:bidi w:val="0"/>
              <w:spacing w:before="0" w:after="283"/>
              <w:jc w:val="left"/>
              <w:rPr/>
            </w:pPr>
            <w:r>
              <w:rPr/>
              <w:t>/s/ Douglas L. Braunstein</w:t>
            </w:r>
          </w:p>
        </w:tc>
        <w:tc>
          <w:tcPr>
            <w:tcW w:w="60" w:type="dxa"/>
            <w:tcBorders/>
          </w:tcPr>
          <w:p>
            <w:pPr>
              <w:pStyle w:val="TableContents"/>
              <w:bidi w:val="0"/>
              <w:spacing w:before="0" w:after="283"/>
              <w:jc w:val="left"/>
              <w:rPr/>
            </w:pPr>
            <w:r>
              <w:rPr/>
              <w:t> </w:t>
            </w:r>
          </w:p>
        </w:tc>
      </w:tr>
      <w:tr>
        <w:trPr/>
        <w:tc>
          <w:tcPr>
            <w:tcW w:w="60" w:type="dxa"/>
            <w:tcBorders/>
          </w:tcPr>
          <w:p>
            <w:pPr>
              <w:pStyle w:val="TableContents"/>
              <w:bidi w:val="0"/>
              <w:spacing w:before="0" w:after="283"/>
              <w:jc w:val="left"/>
              <w:rPr/>
            </w:pPr>
            <w:r>
              <w:rPr/>
              <w:t> </w:t>
            </w:r>
          </w:p>
        </w:tc>
        <w:tc>
          <w:tcPr>
            <w:tcW w:w="425" w:type="dxa"/>
            <w:tcBorders/>
          </w:tcPr>
          <w:p>
            <w:pPr>
              <w:pStyle w:val="TableContents"/>
              <w:bidi w:val="0"/>
              <w:spacing w:before="0" w:after="283"/>
              <w:jc w:val="left"/>
              <w:rPr/>
            </w:pPr>
            <w:r>
              <w:rPr/>
              <w:t> </w:t>
            </w:r>
          </w:p>
        </w:tc>
        <w:tc>
          <w:tcPr>
            <w:tcW w:w="650" w:type="dxa"/>
            <w:tcBorders/>
            <w:vAlign w:val="bottom"/>
          </w:tcPr>
          <w:p>
            <w:pPr>
              <w:pStyle w:val="TableContents"/>
              <w:bidi w:val="0"/>
              <w:spacing w:before="0" w:after="283"/>
              <w:jc w:val="left"/>
              <w:rPr/>
            </w:pPr>
            <w:r>
              <w:rPr/>
              <w:t>Name:</w:t>
            </w:r>
          </w:p>
        </w:tc>
        <w:tc>
          <w:tcPr>
            <w:tcW w:w="2165" w:type="dxa"/>
            <w:tcBorders/>
            <w:vAlign w:val="bottom"/>
          </w:tcPr>
          <w:p>
            <w:pPr>
              <w:pStyle w:val="TableContents"/>
              <w:bidi w:val="0"/>
              <w:spacing w:before="0" w:after="283"/>
              <w:jc w:val="left"/>
              <w:rPr/>
            </w:pPr>
            <w:r>
              <w:rPr/>
              <w:t>Douglas L. Braunstein</w:t>
            </w:r>
          </w:p>
        </w:tc>
        <w:tc>
          <w:tcPr>
            <w:tcW w:w="60" w:type="dxa"/>
            <w:tcBorders/>
          </w:tcPr>
          <w:p>
            <w:pPr>
              <w:pStyle w:val="TableContents"/>
              <w:bidi w:val="0"/>
              <w:spacing w:before="0" w:after="283"/>
              <w:jc w:val="left"/>
              <w:rPr/>
            </w:pPr>
            <w:r>
              <w:rPr/>
              <w:t> </w:t>
            </w:r>
          </w:p>
        </w:tc>
      </w:tr>
      <w:tr>
        <w:trPr/>
        <w:tc>
          <w:tcPr>
            <w:tcW w:w="60" w:type="dxa"/>
            <w:tcBorders/>
          </w:tcPr>
          <w:p>
            <w:pPr>
              <w:pStyle w:val="TableContents"/>
              <w:bidi w:val="0"/>
              <w:spacing w:before="0" w:after="283"/>
              <w:jc w:val="left"/>
              <w:rPr/>
            </w:pPr>
            <w:r>
              <w:rPr/>
              <w:t> </w:t>
            </w:r>
          </w:p>
        </w:tc>
        <w:tc>
          <w:tcPr>
            <w:tcW w:w="425" w:type="dxa"/>
            <w:tcBorders/>
          </w:tcPr>
          <w:p>
            <w:pPr>
              <w:pStyle w:val="TableContents"/>
              <w:bidi w:val="0"/>
              <w:spacing w:before="0" w:after="283"/>
              <w:jc w:val="left"/>
              <w:rPr/>
            </w:pPr>
            <w:r>
              <w:rPr/>
              <w:t> </w:t>
            </w:r>
          </w:p>
        </w:tc>
        <w:tc>
          <w:tcPr>
            <w:tcW w:w="650" w:type="dxa"/>
            <w:tcBorders/>
          </w:tcPr>
          <w:p>
            <w:pPr>
              <w:pStyle w:val="TableContents"/>
              <w:bidi w:val="0"/>
              <w:spacing w:before="0" w:after="283"/>
              <w:jc w:val="left"/>
              <w:rPr/>
            </w:pPr>
            <w:r>
              <w:rPr/>
            </w:r>
          </w:p>
        </w:tc>
        <w:tc>
          <w:tcPr>
            <w:tcW w:w="2165" w:type="dxa"/>
            <w:tcBorders/>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r>
    </w:tbl>
    <w:p>
      <w:pPr>
        <w:pStyle w:val="TextBody"/>
        <w:bidi w:val="0"/>
        <w:spacing w:before="0" w:after="0"/>
        <w:ind w:left="4320" w:right="0" w:hanging="0"/>
        <w:jc w:val="left"/>
        <w:rPr>
          <w:b/>
        </w:rPr>
      </w:pPr>
      <w:r>
        <w:rPr>
          <w:b/>
        </w:rPr>
      </w:r>
    </w:p>
    <w:p>
      <w:pPr>
        <w:pStyle w:val="Normal"/>
        <w:bidi w:val="0"/>
        <w:spacing w:before="0" w:after="0"/>
        <w:jc w:val="left"/>
        <w:rPr>
          <w:sz w:val="4"/>
          <w:szCs w:val="4"/>
        </w:rPr>
      </w:pPr>
      <w:r>
        <w:rPr>
          <w:sz w:val="4"/>
          <w:szCs w:val="4"/>
        </w:rPr>
      </w:r>
      <w:bookmarkStart w:id="28" w:name="z4355af4d9b70428eb6a29e581a0860a6"/>
      <w:bookmarkStart w:id="29" w:name="z4355af4d9b70428eb6a29e581a0860a6"/>
      <w:bookmarkEnd w:id="29"/>
    </w:p>
    <w:tbl>
      <w:tblPr>
        <w:tblW w:w="3360" w:type="dxa"/>
        <w:jc w:val="left"/>
        <w:tblInd w:w="0" w:type="dxa"/>
        <w:tblLayout w:type="fixed"/>
        <w:tblCellMar>
          <w:top w:w="0" w:type="dxa"/>
          <w:left w:w="0" w:type="dxa"/>
          <w:bottom w:w="0" w:type="dxa"/>
          <w:right w:w="0" w:type="dxa"/>
        </w:tblCellMar>
      </w:tblPr>
      <w:tblGrid>
        <w:gridCol w:w="60"/>
        <w:gridCol w:w="425"/>
        <w:gridCol w:w="650"/>
        <w:gridCol w:w="2165"/>
        <w:gridCol w:w="60"/>
      </w:tblGrid>
      <w:tr>
        <w:trPr/>
        <w:tc>
          <w:tcPr>
            <w:tcW w:w="60" w:type="dxa"/>
            <w:tcBorders/>
          </w:tcPr>
          <w:p>
            <w:pPr>
              <w:pStyle w:val="TableContents"/>
              <w:bidi w:val="0"/>
              <w:spacing w:before="0" w:after="283"/>
              <w:jc w:val="left"/>
              <w:rPr/>
            </w:pPr>
            <w:r>
              <w:rPr/>
              <w:t> </w:t>
            </w:r>
          </w:p>
        </w:tc>
        <w:tc>
          <w:tcPr>
            <w:tcW w:w="3240" w:type="dxa"/>
            <w:gridSpan w:val="3"/>
            <w:tcBorders/>
          </w:tcPr>
          <w:p>
            <w:pPr>
              <w:pStyle w:val="TableContents"/>
              <w:bidi w:val="0"/>
              <w:spacing w:before="0" w:after="0"/>
              <w:jc w:val="left"/>
              <w:rPr>
                <w:b/>
              </w:rPr>
            </w:pPr>
            <w:r>
              <w:rPr>
                <w:b/>
              </w:rPr>
              <w:t>BRAUNSTEIN 2015 TRUST</w:t>
            </w:r>
          </w:p>
        </w:tc>
        <w:tc>
          <w:tcPr>
            <w:tcW w:w="60" w:type="dxa"/>
            <w:tcBorders/>
          </w:tcPr>
          <w:p>
            <w:pPr>
              <w:pStyle w:val="TableContents"/>
              <w:bidi w:val="0"/>
              <w:spacing w:before="0" w:after="283"/>
              <w:jc w:val="left"/>
              <w:rPr/>
            </w:pPr>
            <w:r>
              <w:rPr/>
              <w:t> </w:t>
            </w:r>
          </w:p>
        </w:tc>
      </w:tr>
      <w:tr>
        <w:trPr/>
        <w:tc>
          <w:tcPr>
            <w:tcW w:w="60" w:type="dxa"/>
            <w:tcBorders/>
          </w:tcPr>
          <w:p>
            <w:pPr>
              <w:pStyle w:val="TableContents"/>
              <w:bidi w:val="0"/>
              <w:spacing w:before="0" w:after="283"/>
              <w:jc w:val="left"/>
              <w:rPr/>
            </w:pPr>
            <w:r>
              <w:rPr/>
              <w:t> </w:t>
            </w:r>
          </w:p>
        </w:tc>
        <w:tc>
          <w:tcPr>
            <w:tcW w:w="425" w:type="dxa"/>
            <w:tcBorders/>
          </w:tcPr>
          <w:p>
            <w:pPr>
              <w:pStyle w:val="TableContents"/>
              <w:bidi w:val="0"/>
              <w:spacing w:before="0" w:after="283"/>
              <w:jc w:val="left"/>
              <w:rPr/>
            </w:pPr>
            <w:r>
              <w:rPr/>
              <w:t> </w:t>
            </w:r>
          </w:p>
        </w:tc>
        <w:tc>
          <w:tcPr>
            <w:tcW w:w="2815" w:type="dxa"/>
            <w:gridSpan w:val="2"/>
            <w:tcBorders/>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r>
      <w:tr>
        <w:trPr/>
        <w:tc>
          <w:tcPr>
            <w:tcW w:w="60" w:type="dxa"/>
            <w:tcBorders/>
          </w:tcPr>
          <w:p>
            <w:pPr>
              <w:pStyle w:val="TableContents"/>
              <w:bidi w:val="0"/>
              <w:spacing w:before="0" w:after="283"/>
              <w:jc w:val="left"/>
              <w:rPr/>
            </w:pPr>
            <w:r>
              <w:rPr/>
            </w:r>
          </w:p>
        </w:tc>
        <w:tc>
          <w:tcPr>
            <w:tcW w:w="425" w:type="dxa"/>
            <w:tcBorders/>
          </w:tcPr>
          <w:p>
            <w:pPr>
              <w:pStyle w:val="TableContents"/>
              <w:bidi w:val="0"/>
              <w:spacing w:before="0" w:after="0"/>
              <w:ind w:left="0" w:right="0" w:hanging="0"/>
              <w:jc w:val="left"/>
              <w:rPr/>
            </w:pPr>
            <w:r>
              <w:rPr/>
              <w:t xml:space="preserve">By: </w:t>
            </w:r>
          </w:p>
        </w:tc>
        <w:tc>
          <w:tcPr>
            <w:tcW w:w="2815" w:type="dxa"/>
            <w:gridSpan w:val="2"/>
            <w:tcBorders>
              <w:bottom w:val="single" w:sz="12" w:space="0" w:color="000000"/>
            </w:tcBorders>
            <w:tcMar>
              <w:bottom w:w="28" w:type="dxa"/>
            </w:tcMar>
          </w:tcPr>
          <w:p>
            <w:pPr>
              <w:pStyle w:val="TableContents"/>
              <w:bidi w:val="0"/>
              <w:spacing w:before="0" w:after="283"/>
              <w:jc w:val="left"/>
              <w:rPr/>
            </w:pPr>
            <w:r>
              <w:rPr/>
              <w:t>/s/ Douglas L. Braunstein</w:t>
            </w:r>
          </w:p>
        </w:tc>
        <w:tc>
          <w:tcPr>
            <w:tcW w:w="60" w:type="dxa"/>
            <w:tcBorders/>
          </w:tcPr>
          <w:p>
            <w:pPr>
              <w:pStyle w:val="TableContents"/>
              <w:bidi w:val="0"/>
              <w:spacing w:before="0" w:after="283"/>
              <w:jc w:val="left"/>
              <w:rPr/>
            </w:pPr>
            <w:r>
              <w:rPr/>
              <w:t> </w:t>
            </w:r>
          </w:p>
        </w:tc>
      </w:tr>
      <w:tr>
        <w:trPr/>
        <w:tc>
          <w:tcPr>
            <w:tcW w:w="60" w:type="dxa"/>
            <w:tcBorders/>
          </w:tcPr>
          <w:p>
            <w:pPr>
              <w:pStyle w:val="TableContents"/>
              <w:bidi w:val="0"/>
              <w:spacing w:before="0" w:after="283"/>
              <w:jc w:val="left"/>
              <w:rPr/>
            </w:pPr>
            <w:r>
              <w:rPr/>
              <w:t> </w:t>
            </w:r>
          </w:p>
        </w:tc>
        <w:tc>
          <w:tcPr>
            <w:tcW w:w="425" w:type="dxa"/>
            <w:tcBorders/>
          </w:tcPr>
          <w:p>
            <w:pPr>
              <w:pStyle w:val="TableContents"/>
              <w:bidi w:val="0"/>
              <w:spacing w:before="0" w:after="283"/>
              <w:jc w:val="left"/>
              <w:rPr/>
            </w:pPr>
            <w:r>
              <w:rPr/>
              <w:t> </w:t>
            </w:r>
          </w:p>
        </w:tc>
        <w:tc>
          <w:tcPr>
            <w:tcW w:w="650" w:type="dxa"/>
            <w:tcBorders/>
            <w:vAlign w:val="bottom"/>
          </w:tcPr>
          <w:p>
            <w:pPr>
              <w:pStyle w:val="TableContents"/>
              <w:bidi w:val="0"/>
              <w:spacing w:before="0" w:after="283"/>
              <w:jc w:val="left"/>
              <w:rPr/>
            </w:pPr>
            <w:r>
              <w:rPr/>
              <w:t>Name:</w:t>
            </w:r>
          </w:p>
        </w:tc>
        <w:tc>
          <w:tcPr>
            <w:tcW w:w="2165" w:type="dxa"/>
            <w:tcBorders/>
            <w:vAlign w:val="bottom"/>
          </w:tcPr>
          <w:p>
            <w:pPr>
              <w:pStyle w:val="TableContents"/>
              <w:bidi w:val="0"/>
              <w:spacing w:before="0" w:after="283"/>
              <w:jc w:val="left"/>
              <w:rPr/>
            </w:pPr>
            <w:r>
              <w:rPr/>
              <w:t>Douglas L. Braunstein</w:t>
            </w:r>
          </w:p>
        </w:tc>
        <w:tc>
          <w:tcPr>
            <w:tcW w:w="60" w:type="dxa"/>
            <w:tcBorders/>
          </w:tcPr>
          <w:p>
            <w:pPr>
              <w:pStyle w:val="TableContents"/>
              <w:bidi w:val="0"/>
              <w:spacing w:before="0" w:after="283"/>
              <w:jc w:val="left"/>
              <w:rPr/>
            </w:pPr>
            <w:r>
              <w:rPr/>
              <w:t> </w:t>
            </w:r>
          </w:p>
        </w:tc>
      </w:tr>
      <w:tr>
        <w:trPr/>
        <w:tc>
          <w:tcPr>
            <w:tcW w:w="60" w:type="dxa"/>
            <w:tcBorders/>
          </w:tcPr>
          <w:p>
            <w:pPr>
              <w:pStyle w:val="TableContents"/>
              <w:bidi w:val="0"/>
              <w:spacing w:before="0" w:after="283"/>
              <w:jc w:val="left"/>
              <w:rPr/>
            </w:pPr>
            <w:r>
              <w:rPr/>
              <w:t> </w:t>
            </w:r>
          </w:p>
        </w:tc>
        <w:tc>
          <w:tcPr>
            <w:tcW w:w="425" w:type="dxa"/>
            <w:tcBorders/>
          </w:tcPr>
          <w:p>
            <w:pPr>
              <w:pStyle w:val="TableContents"/>
              <w:bidi w:val="0"/>
              <w:spacing w:before="0" w:after="283"/>
              <w:jc w:val="left"/>
              <w:rPr/>
            </w:pPr>
            <w:r>
              <w:rPr/>
              <w:t> </w:t>
            </w:r>
          </w:p>
        </w:tc>
        <w:tc>
          <w:tcPr>
            <w:tcW w:w="650" w:type="dxa"/>
            <w:tcBorders/>
          </w:tcPr>
          <w:p>
            <w:pPr>
              <w:pStyle w:val="TableContents"/>
              <w:bidi w:val="0"/>
              <w:spacing w:before="0" w:after="283"/>
              <w:jc w:val="left"/>
              <w:rPr/>
            </w:pPr>
            <w:r>
              <w:rPr/>
            </w:r>
          </w:p>
        </w:tc>
        <w:tc>
          <w:tcPr>
            <w:tcW w:w="2165" w:type="dxa"/>
            <w:tcBorders/>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[Signature Page to Voting Agreement]</w:t>
      </w:r>
    </w:p>
    <w:p>
      <w:pPr>
        <w:pStyle w:val="TextBody"/>
        <w:bidi w:val="0"/>
        <w:jc w:val="left"/>
        <w:rPr/>
      </w:pPr>
      <w:r>
        <w:rPr/>
      </w:r>
    </w:p>
    <w:p>
      <w:pPr>
        <w:pStyle w:val="TextBody"/>
        <w:bidi w:val="0"/>
        <w:spacing w:before="0" w:after="0"/>
        <w:jc w:val="right"/>
        <w:rPr>
          <w:rFonts w:ascii="Times New Roman" w:hAnsi="Times New Roman"/>
          <w:b/>
          <w:color w:val="000000"/>
          <w:sz w:val="20"/>
        </w:rPr>
      </w:pPr>
      <w:bookmarkStart w:id="30" w:name="ex99-2.htm"/>
      <w:bookmarkStart w:id="31" w:name="ksex992"/>
      <w:bookmarkEnd w:id="30"/>
      <w:bookmarkEnd w:id="31"/>
      <w:r>
        <w:rPr>
          <w:rFonts w:ascii="Times New Roman" w:hAnsi="Times New Roman"/>
          <w:b/>
          <w:color w:val="000000"/>
          <w:sz w:val="20"/>
        </w:rPr>
        <w:t>Exhibit 99.2</w:t>
      </w:r>
      <w:r>
        <w:br w:type="page"/>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VOTING AGREEMENT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THIS</w:t>
      </w:r>
      <w:r>
        <w:rPr>
          <w:rFonts w:ascii="Times New Roman" w:hAnsi="Times New Roman"/>
          <w:color w:val="000000"/>
          <w:sz w:val="20"/>
        </w:rPr>
        <w:t> </w:t>
      </w:r>
      <w:r>
        <w:rPr>
          <w:rFonts w:ascii="Times New Roman" w:hAnsi="Times New Roman"/>
          <w:b/>
          <w:color w:val="000000"/>
          <w:sz w:val="20"/>
        </w:rPr>
        <w:t xml:space="preserve">VOTING AGREEMENT </w:t>
      </w:r>
      <w:r>
        <w:rPr>
          <w:rFonts w:ascii="Times New Roman" w:hAnsi="Times New Roman"/>
          <w:color w:val="000000"/>
          <w:sz w:val="20"/>
        </w:rPr>
        <w:t>(this “</w:t>
      </w:r>
      <w:r>
        <w:rPr>
          <w:rFonts w:ascii="Times New Roman" w:hAnsi="Times New Roman"/>
          <w:color w:val="000000"/>
          <w:sz w:val="20"/>
          <w:u w:val="single"/>
        </w:rPr>
        <w:t>Agreement</w:t>
      </w:r>
      <w:r>
        <w:rPr>
          <w:rFonts w:ascii="Times New Roman" w:hAnsi="Times New Roman"/>
          <w:color w:val="000000"/>
          <w:sz w:val="20"/>
        </w:rPr>
        <w:t>”), dated as of March 9, 2026, is entered into by and among Universal Health Services, Inc., a Delaware corporation (“</w:t>
      </w:r>
      <w:r>
        <w:rPr>
          <w:rFonts w:ascii="Times New Roman" w:hAnsi="Times New Roman"/>
          <w:color w:val="000000"/>
          <w:sz w:val="20"/>
          <w:u w:val="single"/>
        </w:rPr>
        <w:t>Parent</w:t>
      </w:r>
      <w:r>
        <w:rPr>
          <w:rFonts w:ascii="Times New Roman" w:hAnsi="Times New Roman"/>
          <w:color w:val="000000"/>
          <w:sz w:val="20"/>
        </w:rPr>
        <w:t>”), and the Persons executing this Agreement as “</w:t>
      </w:r>
      <w:r>
        <w:rPr>
          <w:rFonts w:ascii="Times New Roman" w:hAnsi="Times New Roman"/>
          <w:color w:val="000000"/>
          <w:sz w:val="20"/>
          <w:u w:val="single"/>
        </w:rPr>
        <w:t>Holders</w:t>
      </w:r>
      <w:r>
        <w:rPr>
          <w:rFonts w:ascii="Times New Roman" w:hAnsi="Times New Roman"/>
          <w:color w:val="000000"/>
          <w:sz w:val="20"/>
        </w:rPr>
        <w:t>” on the signature pages hereto (each, a “</w:t>
      </w:r>
      <w:r>
        <w:rPr>
          <w:rFonts w:ascii="Times New Roman" w:hAnsi="Times New Roman"/>
          <w:color w:val="000000"/>
          <w:sz w:val="20"/>
          <w:u w:val="single"/>
        </w:rPr>
        <w:t>Holder</w:t>
      </w:r>
      <w:r>
        <w:rPr>
          <w:rFonts w:ascii="Times New Roman" w:hAnsi="Times New Roman"/>
          <w:color w:val="000000"/>
          <w:sz w:val="20"/>
        </w:rPr>
        <w:t>” and collectively, the “</w:t>
      </w:r>
      <w:r>
        <w:rPr>
          <w:rFonts w:ascii="Times New Roman" w:hAnsi="Times New Roman"/>
          <w:color w:val="000000"/>
          <w:sz w:val="20"/>
          <w:u w:val="single"/>
        </w:rPr>
        <w:t>Holders</w:t>
      </w:r>
      <w:r>
        <w:rPr>
          <w:rFonts w:ascii="Times New Roman" w:hAnsi="Times New Roman"/>
          <w:color w:val="000000"/>
          <w:sz w:val="20"/>
        </w:rPr>
        <w:t xml:space="preserve">”). </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WHEREAS</w:t>
      </w:r>
      <w:r>
        <w:rPr>
          <w:rFonts w:ascii="Times New Roman" w:hAnsi="Times New Roman"/>
          <w:color w:val="000000"/>
          <w:sz w:val="20"/>
        </w:rPr>
        <w:t>, concurrently with the execution and delivery of this Agreement, Parent, UHS Merger Subsidiary, Inc., a Delaware corporation and a wholly owned Subsidiary of Parent (“</w:t>
      </w:r>
      <w:r>
        <w:rPr>
          <w:rFonts w:ascii="Times New Roman" w:hAnsi="Times New Roman"/>
          <w:color w:val="000000"/>
          <w:sz w:val="20"/>
          <w:u w:val="single"/>
        </w:rPr>
        <w:t>Merger Sub</w:t>
      </w:r>
      <w:r>
        <w:rPr>
          <w:rFonts w:ascii="Times New Roman" w:hAnsi="Times New Roman"/>
          <w:color w:val="000000"/>
          <w:sz w:val="20"/>
        </w:rPr>
        <w:t>”), and Talkspace, Inc., a Delaware corporation (the “</w:t>
      </w:r>
      <w:r>
        <w:rPr>
          <w:rFonts w:ascii="Times New Roman" w:hAnsi="Times New Roman"/>
          <w:color w:val="000000"/>
          <w:sz w:val="20"/>
          <w:u w:val="single"/>
        </w:rPr>
        <w:t>Company</w:t>
      </w:r>
      <w:r>
        <w:rPr>
          <w:rFonts w:ascii="Times New Roman" w:hAnsi="Times New Roman"/>
          <w:color w:val="000000"/>
          <w:sz w:val="20"/>
        </w:rPr>
        <w:t>”), are entering into an Agreement and Plan of Merger (as the same may be amended or supplemented from time to time, the “</w:t>
      </w:r>
      <w:r>
        <w:rPr>
          <w:rFonts w:ascii="Times New Roman" w:hAnsi="Times New Roman"/>
          <w:color w:val="000000"/>
          <w:sz w:val="20"/>
          <w:u w:val="single"/>
        </w:rPr>
        <w:t>Merger Agreement</w:t>
      </w:r>
      <w:r>
        <w:rPr>
          <w:rFonts w:ascii="Times New Roman" w:hAnsi="Times New Roman"/>
          <w:color w:val="000000"/>
          <w:sz w:val="20"/>
        </w:rPr>
        <w:t>”), providing for, among other things, the merger of Merger Sub with and into the Company, with the Company surviving such merger (the “</w:t>
      </w:r>
      <w:r>
        <w:rPr>
          <w:rFonts w:ascii="Times New Roman" w:hAnsi="Times New Roman"/>
          <w:color w:val="000000"/>
          <w:sz w:val="20"/>
          <w:u w:val="single"/>
        </w:rPr>
        <w:t>Merger</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WHEREAS</w:t>
      </w:r>
      <w:r>
        <w:rPr>
          <w:rFonts w:ascii="Times New Roman" w:hAnsi="Times New Roman"/>
          <w:color w:val="000000"/>
          <w:sz w:val="20"/>
        </w:rPr>
        <w:t xml:space="preserve">, as of the date hereof, each Holder is the record or “beneficial owner” (within the meaning of Rule 13d-3 under the Exchange Act) of, and is entitled to dispose and vote, the number of shares of (a) Company Common Stock and (b) other securities (including Company Warrants) convertible into, or exercisable or exchangeable for, shares of Company Common Stock (such shares described in the foregoing </w:t>
      </w:r>
      <w:r>
        <w:rPr>
          <w:rFonts w:ascii="Times New Roman" w:hAnsi="Times New Roman"/>
          <w:color w:val="000000"/>
          <w:sz w:val="20"/>
          <w:u w:val="single"/>
        </w:rPr>
        <w:t>clauses (a)</w:t>
      </w:r>
      <w:r>
        <w:rPr>
          <w:rFonts w:ascii="Times New Roman" w:hAnsi="Times New Roman"/>
          <w:color w:val="000000"/>
          <w:sz w:val="20"/>
        </w:rPr>
        <w:t xml:space="preserve"> and </w:t>
      </w:r>
      <w:r>
        <w:rPr>
          <w:rFonts w:ascii="Times New Roman" w:hAnsi="Times New Roman"/>
          <w:color w:val="000000"/>
          <w:sz w:val="20"/>
          <w:u w:val="single"/>
        </w:rPr>
        <w:t>(b)</w:t>
      </w:r>
      <w:r>
        <w:rPr>
          <w:rFonts w:ascii="Times New Roman" w:hAnsi="Times New Roman"/>
          <w:color w:val="000000"/>
          <w:sz w:val="20"/>
        </w:rPr>
        <w:t>, the “</w:t>
      </w:r>
      <w:r>
        <w:rPr>
          <w:rFonts w:ascii="Times New Roman" w:hAnsi="Times New Roman"/>
          <w:color w:val="000000"/>
          <w:sz w:val="20"/>
          <w:u w:val="single"/>
        </w:rPr>
        <w:t>Shares</w:t>
      </w:r>
      <w:r>
        <w:rPr>
          <w:rFonts w:ascii="Times New Roman" w:hAnsi="Times New Roman"/>
          <w:color w:val="000000"/>
          <w:sz w:val="20"/>
        </w:rPr>
        <w:t xml:space="preserve">”) set forth next to such Holder’s name on </w:t>
      </w:r>
      <w:r>
        <w:rPr>
          <w:rFonts w:ascii="Times New Roman" w:hAnsi="Times New Roman"/>
          <w:color w:val="000000"/>
          <w:sz w:val="20"/>
          <w:u w:val="single"/>
        </w:rPr>
        <w:t>Schedule A</w:t>
      </w:r>
      <w:r>
        <w:rPr>
          <w:rFonts w:ascii="Times New Roman" w:hAnsi="Times New Roman"/>
          <w:color w:val="000000"/>
          <w:sz w:val="20"/>
        </w:rPr>
        <w:t xml:space="preserve"> attached hereto (the “</w:t>
      </w:r>
      <w:r>
        <w:rPr>
          <w:rFonts w:ascii="Times New Roman" w:hAnsi="Times New Roman"/>
          <w:color w:val="000000"/>
          <w:sz w:val="20"/>
          <w:u w:val="single"/>
        </w:rPr>
        <w:t>Existing Shares</w:t>
      </w:r>
      <w:r>
        <w:rPr>
          <w:rFonts w:ascii="Times New Roman" w:hAnsi="Times New Roman"/>
          <w:color w:val="000000"/>
          <w:sz w:val="20"/>
        </w:rPr>
        <w:t>”); and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WHEREAS</w:t>
      </w:r>
      <w:r>
        <w:rPr>
          <w:rFonts w:ascii="Times New Roman" w:hAnsi="Times New Roman"/>
          <w:color w:val="000000"/>
          <w:sz w:val="20"/>
        </w:rPr>
        <w:t>, as a material inducement to Parent to enter into the Merger Agreement, Parent has requested each Holder to agree, and each Holder (in such Holder’s capacity as a record or beneficial owner of the Subject Shares) has agreed, to enter into this Agreement and abide by the covenants and obligations set forth herein with respect to the Subject Shares.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NOW, THEREFORE</w:t>
      </w:r>
      <w:r>
        <w:rPr>
          <w:rFonts w:ascii="Times New Roman" w:hAnsi="Times New Roman"/>
          <w:color w:val="000000"/>
          <w:sz w:val="20"/>
        </w:rPr>
        <w:t>, in consideration of the foregoing and the mutual covenants and agreements herein contained, the parties hereto, intending to be legally bound hereby, agree as follows:</w:t>
      </w:r>
    </w:p>
    <w:p>
      <w:pPr>
        <w:pStyle w:val="TextBody"/>
        <w:bidi w:val="0"/>
        <w:spacing w:before="0" w:after="0"/>
        <w:jc w:val="left"/>
        <w:rPr/>
      </w:pPr>
      <w:r>
        <w:rPr/>
      </w:r>
    </w:p>
    <w:p>
      <w:pPr>
        <w:pStyle w:val="TextBody"/>
        <w:bidi w:val="0"/>
        <w:spacing w:before="0" w:after="0"/>
        <w:jc w:val="center"/>
        <w:rPr>
          <w:rFonts w:ascii="Times New Roman" w:hAnsi="Times New Roman"/>
          <w:color w:val="010000"/>
          <w:sz w:val="20"/>
        </w:rPr>
      </w:pPr>
      <w:r>
        <w:rPr>
          <w:rFonts w:ascii="Times New Roman" w:hAnsi="Times New Roman"/>
          <w:color w:val="010000"/>
          <w:sz w:val="20"/>
        </w:rPr>
        <w:t>ARTICLE I</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u w:val="single"/>
        </w:rPr>
      </w:pPr>
      <w:r>
        <w:rPr>
          <w:rFonts w:ascii="Times New Roman" w:hAnsi="Times New Roman"/>
          <w:color w:val="000000"/>
          <w:sz w:val="20"/>
          <w:u w:val="single"/>
        </w:rPr>
        <w:t>Definitions; Interpretation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1.01</w:t>
      </w:r>
      <w:r>
        <w:rPr>
          <w:rFonts w:ascii="Times New Roman" w:hAnsi="Times New Roman"/>
          <w:color w:val="000000"/>
          <w:sz w:val="20"/>
        </w:rPr>
        <w:t>          </w:t>
      </w:r>
      <w:r>
        <w:rPr>
          <w:rFonts w:ascii="Times New Roman" w:hAnsi="Times New Roman"/>
          <w:color w:val="000000"/>
          <w:sz w:val="20"/>
          <w:u w:val="single"/>
        </w:rPr>
        <w:t>Definitions</w:t>
      </w:r>
      <w:r>
        <w:rPr>
          <w:rFonts w:ascii="Times New Roman" w:hAnsi="Times New Roman"/>
          <w:color w:val="000000"/>
          <w:sz w:val="20"/>
        </w:rPr>
        <w:t>.  The following capitalized terms, as used in this Agreement, shall have the meanings set forth below.  Capitalized terms used but not defined herein shall have the meanings given to such terms in the Merger Agreement.</w:t>
      </w:r>
    </w:p>
    <w:p>
      <w:pPr>
        <w:pStyle w:val="TextBody"/>
        <w:bidi w:val="0"/>
        <w:spacing w:before="0" w:after="0"/>
        <w:jc w:val="left"/>
        <w:rPr/>
      </w:pPr>
      <w:r>
        <w:rPr/>
      </w:r>
    </w:p>
    <w:p>
      <w:pPr>
        <w:pStyle w:val="TextBody"/>
        <w:bidi w:val="0"/>
        <w:spacing w:before="0" w:after="0"/>
        <w:ind w:left="720" w:right="0" w:firstLine="720"/>
        <w:jc w:val="both"/>
        <w:rPr>
          <w:color w:val="000000"/>
        </w:rPr>
      </w:pPr>
      <w:r>
        <w:rPr>
          <w:color w:val="000000"/>
        </w:rPr>
        <w:t>“</w:t>
      </w:r>
      <w:r>
        <w:rPr>
          <w:rFonts w:ascii="Times New Roman" w:hAnsi="Times New Roman"/>
          <w:color w:val="000000"/>
          <w:sz w:val="20"/>
          <w:u w:val="single"/>
        </w:rPr>
        <w:t>New Shares</w:t>
      </w:r>
      <w:r>
        <w:rPr>
          <w:rFonts w:ascii="Times New Roman" w:hAnsi="Times New Roman"/>
          <w:color w:val="000000"/>
          <w:sz w:val="20"/>
        </w:rPr>
        <w:t xml:space="preserve">” means any shares of Company Common Stock that a Holder or its Affiliates purchases or with respect to which a Holder or its Affiliates otherwise acquires record or beneficial ownership of, on or after the date of this Agreement and prior to the valid termination of this Agreement in accordance with </w:t>
      </w:r>
      <w:r>
        <w:rPr>
          <w:rFonts w:ascii="Times New Roman" w:hAnsi="Times New Roman"/>
          <w:color w:val="000000"/>
          <w:sz w:val="20"/>
          <w:u w:val="single"/>
        </w:rPr>
        <w:t>Section 5.13</w:t>
      </w:r>
      <w:r>
        <w:rPr>
          <w:rFonts w:ascii="Times New Roman" w:hAnsi="Times New Roman"/>
          <w:color w:val="000000"/>
          <w:sz w:val="20"/>
        </w:rPr>
        <w:t>, including any shares issued or issuable upon the conversion, vesting, exercise or exchange, as the case may be, of all securities (including Company Warrants) held by a Holder that are convertible into, or exercisable or exchangeable for, shares of Company Common Stock.</w:t>
      </w:r>
    </w:p>
    <w:p>
      <w:pPr>
        <w:pStyle w:val="TextBody"/>
        <w:bidi w:val="0"/>
        <w:spacing w:before="0" w:after="0"/>
        <w:ind w:left="720" w:right="0" w:firstLine="720"/>
        <w:jc w:val="both"/>
        <w:rPr>
          <w:rFonts w:ascii="Times New Roman" w:hAnsi="Times New Roman"/>
          <w:sz w:val="20"/>
        </w:rPr>
      </w:pPr>
      <w:r>
        <w:rPr>
          <w:rFonts w:ascii="Times New Roman" w:hAnsi="Times New Roman"/>
          <w:sz w:val="20"/>
        </w:rPr>
      </w:r>
    </w:p>
    <w:p>
      <w:pPr>
        <w:pStyle w:val="TextBody"/>
        <w:bidi w:val="0"/>
        <w:spacing w:before="0" w:after="0"/>
        <w:ind w:left="720" w:right="0" w:firstLine="720"/>
        <w:jc w:val="both"/>
        <w:rPr>
          <w:color w:val="000000"/>
        </w:rPr>
      </w:pPr>
      <w:r>
        <w:rPr>
          <w:color w:val="000000"/>
        </w:rPr>
        <w:t>“</w:t>
      </w:r>
      <w:r>
        <w:rPr>
          <w:rFonts w:ascii="Times New Roman" w:hAnsi="Times New Roman"/>
          <w:color w:val="000000"/>
          <w:sz w:val="20"/>
          <w:u w:val="single"/>
        </w:rPr>
        <w:t>Subject Shares</w:t>
      </w:r>
      <w:r>
        <w:rPr>
          <w:rFonts w:ascii="Times New Roman" w:hAnsi="Times New Roman"/>
          <w:color w:val="000000"/>
          <w:sz w:val="20"/>
        </w:rPr>
        <w:t xml:space="preserve">” means, collectively, the Existing Shares and the New Shares. </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10000"/>
          <w:sz w:val="20"/>
        </w:rPr>
        <w:t>Section 1.02</w:t>
      </w:r>
      <w:r>
        <w:rPr>
          <w:rFonts w:ascii="Times New Roman" w:hAnsi="Times New Roman"/>
          <w:color w:val="000000"/>
          <w:sz w:val="20"/>
        </w:rPr>
        <w:t>          </w:t>
      </w:r>
      <w:r>
        <w:rPr>
          <w:rFonts w:ascii="Times New Roman" w:hAnsi="Times New Roman"/>
          <w:color w:val="000000"/>
          <w:sz w:val="20"/>
          <w:u w:val="single"/>
        </w:rPr>
        <w:t>Interpretation</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(a)</w:t>
      </w:r>
      <w:r>
        <w:rPr>
          <w:rFonts w:ascii="Times New Roman" w:hAnsi="Times New Roman"/>
          <w:color w:val="000000"/>
          <w:sz w:val="20"/>
        </w:rPr>
        <w:t>          When a reference is made in this Agreement to a Schedule, such reference shall be to a Schedule to this Agreement unless otherwise indicated.  When a reference is made in this Agreement to a Section or Article, such reference shall be to the corresponding Section or Article of this Agreement unless otherwise indicated.  The descriptive headings contained in this Agreement are included for convenience of reference only and will not affect in any way the meaning or interpretation of this Agreement.  Whenever the words “include”, “includes” or “including” are used in this Agreement, they shall be deemed to be followed by the words “without limitation”.  The words “hereof”, “herein”, “hereto” and “hereunder” and words of similar import when used in this Agreement shall refer to this Agreement as a whole and not to any particular provision of this Agreement.  The terms “or”, “any” and “either” are not exclusive.  The word “extent” in the phrase “to the extent” shall mean the degree to which a subject or other thing extends, and such phrase shall not mean simply “if”.  The word “will” shall be construed to have the same meaning and effect as the word “shall”.  The definitions contained in this Agreement are applicable to the singular as well as the plural forms of such terms and to the masculine as well as to the feminine and neuter genders of such term.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Unless otherwise specifically indicated, all references to “dollars” or “$” shall refer to the lawful money of the United States.  References to a Person are also to its permitted assigns and successors.</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(b)</w:t>
      </w:r>
      <w:r>
        <w:rPr>
          <w:rFonts w:ascii="Times New Roman" w:hAnsi="Times New Roman"/>
          <w:color w:val="000000"/>
          <w:sz w:val="20"/>
        </w:rPr>
        <w:t>          The parties hereto have participated jointly in the negotiation and drafting of this Agreement and, in the event an ambiguity or question of intent or interpretation arises, this Agreement shall be construed as jointly drafted by the parties hereto and no presumption or burden of proof shall arise favoring or disfavoring any party hereto by virtue of the authorship of any provision of this Agreement.</w:t>
      </w:r>
    </w:p>
    <w:p>
      <w:pPr>
        <w:pStyle w:val="TextBody"/>
        <w:bidi w:val="0"/>
        <w:spacing w:before="0" w:after="0"/>
        <w:jc w:val="left"/>
        <w:rPr/>
      </w:pPr>
      <w:r>
        <w:rPr/>
      </w:r>
    </w:p>
    <w:p>
      <w:pPr>
        <w:pStyle w:val="TextBody"/>
        <w:bidi w:val="0"/>
        <w:spacing w:before="0" w:after="0"/>
        <w:jc w:val="center"/>
        <w:rPr>
          <w:rFonts w:ascii="Times New Roman" w:hAnsi="Times New Roman"/>
          <w:color w:val="010000"/>
          <w:sz w:val="20"/>
        </w:rPr>
      </w:pPr>
      <w:r>
        <w:rPr>
          <w:rFonts w:ascii="Times New Roman" w:hAnsi="Times New Roman"/>
          <w:color w:val="010000"/>
          <w:sz w:val="20"/>
        </w:rPr>
        <w:t>ARTICLE II</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u w:val="single"/>
        </w:rPr>
      </w:pPr>
      <w:r>
        <w:rPr>
          <w:rFonts w:ascii="Times New Roman" w:hAnsi="Times New Roman"/>
          <w:color w:val="000000"/>
          <w:sz w:val="20"/>
          <w:u w:val="single"/>
        </w:rPr>
        <w:t>Representations and Warranties of Each Holder</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Each Holder hereby represents and warrants, severally and not jointly, to Parent that: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2.01</w:t>
      </w:r>
      <w:r>
        <w:rPr>
          <w:rFonts w:ascii="Times New Roman" w:hAnsi="Times New Roman"/>
          <w:color w:val="000000"/>
          <w:sz w:val="20"/>
        </w:rPr>
        <w:t>          </w:t>
      </w:r>
      <w:r>
        <w:rPr>
          <w:rFonts w:ascii="Times New Roman" w:hAnsi="Times New Roman"/>
          <w:color w:val="000000"/>
          <w:sz w:val="20"/>
          <w:u w:val="single"/>
        </w:rPr>
        <w:t>Organization</w:t>
      </w:r>
      <w:r>
        <w:rPr>
          <w:rFonts w:ascii="Times New Roman" w:hAnsi="Times New Roman"/>
          <w:color w:val="000000"/>
          <w:sz w:val="20"/>
        </w:rPr>
        <w:t>.  If such Holder is not an individual, such Holder is duly formed, organized or incorporated, validly existing and in good standing (where such concept is recognized under applicable Law) under the Laws of the jurisdiction of its formation, organization or incorporation.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2.02</w:t>
      </w:r>
      <w:r>
        <w:rPr>
          <w:rFonts w:ascii="Times New Roman" w:hAnsi="Times New Roman"/>
          <w:color w:val="000000"/>
          <w:sz w:val="20"/>
        </w:rPr>
        <w:t>          </w:t>
      </w:r>
      <w:r>
        <w:rPr>
          <w:rFonts w:ascii="Times New Roman" w:hAnsi="Times New Roman"/>
          <w:color w:val="000000"/>
          <w:sz w:val="20"/>
          <w:u w:val="single"/>
        </w:rPr>
        <w:t>Ownership of Subject Shares</w:t>
      </w:r>
      <w:r>
        <w:rPr>
          <w:rFonts w:ascii="Times New Roman" w:hAnsi="Times New Roman"/>
          <w:color w:val="000000"/>
          <w:sz w:val="20"/>
        </w:rPr>
        <w:t xml:space="preserve">.  Except to the extent any Existing Shares or New Shares are Transferred in accordance with </w:t>
      </w:r>
      <w:r>
        <w:rPr>
          <w:rFonts w:ascii="Times New Roman" w:hAnsi="Times New Roman"/>
          <w:color w:val="000000"/>
          <w:sz w:val="20"/>
          <w:u w:val="single"/>
        </w:rPr>
        <w:t>Section 4.03</w:t>
      </w:r>
      <w:r>
        <w:rPr>
          <w:rFonts w:ascii="Times New Roman" w:hAnsi="Times New Roman"/>
          <w:color w:val="000000"/>
          <w:sz w:val="20"/>
        </w:rPr>
        <w:t>, the Existing Shares are currently and during the term of this Agreement will be, and the New Shares will be, beneficially owned (as defined in Rule 13d-3 promulgated under the Exchange Act) or owned of record by such Holder.  Such Holder is the record or beneficial owner of, and has, with respect to such Holder’s Existing Shares, and will have with respect to such Holder’s New Shares, good and marketable title to, such Holder’s Subject Shares, free and clear of all Encumbrances, except for any Encumbrances as (a) may be created or imposed pursuant to this Agreement, the organizational documents of the Company, or the Securities Act or other applicable securities Laws or (b) expressly contemplated by the Merger Agreement.  Such Holder does not, and will not, legally or beneficially own (within the meaning of Section 13 of the Exchange Act) any Shares or other securities in the Company (or any of the Company’s Subsidiaries) other than the Subject Shares.  Except as contemplated by this Agreement, such Holder has and will have during the term of this Agreement the sole right to vote (including the right to control such vote as contemplated herein) such Holder’s Subject Shares, and no Subject Share of such Holder is subject to any voting trust or other agreement with respect to the voting thereof.  Such Holder has and will have during the term of this Agreement the sole right to dispose of such Holder’s Subject Shares and the sole power to issue instructions with respect to the matters set forth herein, and the sole power to agree to all of the matters set forth in this Agreement, with no restrictions, subject to the Securities Act and other applicable securities Laws, on such Holder’s rights of disposition of such Holder’s Subject Shares.  Except as contemplated by this Agreement, (i) there are no agreements or arrangements of any kind, contingent or otherwise, obligating such Holder to sell, transfer, pledge, assign, exchange, lend, encumber or otherwise dispose of, whether voluntarily, involuntarily, by operation of law or otherwise (collectively, “</w:t>
      </w:r>
      <w:r>
        <w:rPr>
          <w:rFonts w:ascii="Times New Roman" w:hAnsi="Times New Roman"/>
          <w:color w:val="000000"/>
          <w:sz w:val="20"/>
          <w:u w:val="single"/>
        </w:rPr>
        <w:t>Transfer</w:t>
      </w:r>
      <w:r>
        <w:rPr>
          <w:rFonts w:ascii="Times New Roman" w:hAnsi="Times New Roman"/>
          <w:color w:val="000000"/>
          <w:sz w:val="20"/>
        </w:rPr>
        <w:t>”), or cause to be Transferred any such Holder’s Subject Shares or otherwise relating to the Transfer of any such Holder’s Subject Shares and (ii) no Person has any contractual or other right or obligation to purchase or otherwise acquire beneficial ownership of any of such Subject Shares of such Holder.</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2.03</w:t>
      </w:r>
      <w:r>
        <w:rPr>
          <w:rFonts w:ascii="Times New Roman" w:hAnsi="Times New Roman"/>
          <w:color w:val="000000"/>
          <w:sz w:val="20"/>
        </w:rPr>
        <w:t>          </w:t>
      </w:r>
      <w:r>
        <w:rPr>
          <w:rFonts w:ascii="Times New Roman" w:hAnsi="Times New Roman"/>
          <w:color w:val="000000"/>
          <w:sz w:val="20"/>
          <w:u w:val="single"/>
        </w:rPr>
        <w:t>Authority; Execution and Delivery; Enforceability</w:t>
      </w:r>
      <w:r>
        <w:rPr>
          <w:rFonts w:ascii="Times New Roman" w:hAnsi="Times New Roman"/>
          <w:color w:val="000000"/>
          <w:sz w:val="20"/>
        </w:rPr>
        <w:t>.  If such Holder is not an individual, such Holder has all necessary power and authority to execute and deliver this Agreement and to perform such Holder’s obligations hereunder and the execution and delivery by such Holder of this Agreement and the performance by such Holder of such Holder’s obligations hereunder have been duly authorized and approved by all requisite action, and no other action on the part of such Holder is necessary to authorize the execution and delivery of this Agreement or the performance by such Holder of such Holder’s obligations hereunder.  If such Holder is an individual, such Holder has the requisite legal capacity, right and authority to execute and deliver this Agreement and to perform such Holder’s obligations under this Agreement. This Agreement has been duly executed and delivered by such Holder and, assuming due authorization, execution and delivery hereof by Parent, constitutes a legal, valid and binding obligation of such Holder, enforceable against such Holder in accordance with its terms, except as enforcement may be limited by the Bankruptcy and Equity Exception.  If such Holder is married and any of such Holder’s Subject Shares constitute community property or spousal approval is otherwise necessary for this Agreement to be legal, valid, binding and enforceable, this Agreement has been duly executed and delivered by, and, assuming the due authorization, execution and delivery by Parent, constitutes the legal, valid and binding obligation of, such Holder’s spouse, enforceable in accordance with its terms except, in each case, as enforcement may be limited by the Bankruptcy and Equity Exception.</w:t>
      </w:r>
    </w:p>
    <w:p>
      <w:pPr>
        <w:pStyle w:val="TextBody"/>
        <w:bidi w:val="0"/>
        <w:spacing w:before="0" w:after="0"/>
        <w:ind w:left="0" w:right="0" w:firstLine="720"/>
        <w:jc w:val="left"/>
        <w:rPr>
          <w:rFonts w:ascii="Times New Roman" w:hAnsi="Times New Roman"/>
          <w:color w:val="010000"/>
          <w:sz w:val="20"/>
        </w:rPr>
      </w:pPr>
      <w:r>
        <w:rPr>
          <w:rFonts w:ascii="Times New Roman" w:hAnsi="Times New Roman"/>
          <w:color w:val="010000"/>
          <w:sz w:val="20"/>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10000"/>
          <w:sz w:val="20"/>
        </w:rPr>
        <w:t>Section 2.04</w:t>
      </w:r>
      <w:r>
        <w:rPr>
          <w:rFonts w:ascii="Times New Roman" w:hAnsi="Times New Roman"/>
          <w:color w:val="000000"/>
          <w:sz w:val="20"/>
        </w:rPr>
        <w:t>          </w:t>
      </w:r>
      <w:r>
        <w:rPr>
          <w:rFonts w:ascii="Times New Roman" w:hAnsi="Times New Roman"/>
          <w:color w:val="000000"/>
          <w:sz w:val="20"/>
          <w:u w:val="single"/>
        </w:rPr>
        <w:t>No Conflicts; Governmental Approvals</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(a)</w:t>
      </w:r>
      <w:r>
        <w:rPr>
          <w:rFonts w:ascii="Times New Roman" w:hAnsi="Times New Roman"/>
          <w:color w:val="000000"/>
          <w:sz w:val="20"/>
        </w:rPr>
        <w:t xml:space="preserve">          Neither the execution and delivery of this Agreement by such Holder, nor the performance or compliance by such Holder with any of the terms or provisions hereof, will (i) if such Holder is not an individual, conflict with or violate any provision of the organizational documents of such Holder or (ii)(A) assuming that the actions described in </w:t>
      </w:r>
      <w:r>
        <w:rPr>
          <w:rFonts w:ascii="Times New Roman" w:hAnsi="Times New Roman"/>
          <w:color w:val="000000"/>
          <w:sz w:val="20"/>
          <w:u w:val="single"/>
        </w:rPr>
        <w:t>Section 2.04(b)</w:t>
      </w:r>
      <w:r>
        <w:rPr>
          <w:rFonts w:ascii="Times New Roman" w:hAnsi="Times New Roman"/>
          <w:color w:val="000000"/>
          <w:sz w:val="20"/>
        </w:rPr>
        <w:t xml:space="preserve"> have been completed prior to or promptly after the Effective Time, violate any Law applicable to such Holder or by which such Holder’s assets or properties are bound or (B) conflict with, result in any breach of or constitute a default (or an event that with notice or lapse of time or both would become a default) under, or give to others any rights of termination, amendment, acceleration or cancellation of, or result in the creation of any encumbrance on the properties or assets of such Holder (including such Holder’s Subject Shares) pursuant to, any note, bond, mortgage, indenture, contract (whether written or oral), agreement, lease, license, permit, franchise or other instrument or obligation to which such Holder is a party or by which such Holder or any of such Holder’s assets or properties is bound, except for any of the foregoing as would not individually or in the aggregate, reasonably be expected to prevent or materially impair or interfere with the ability of such Holder to perform such Holder’s obligations hereunder in any material respect or consummate the transactions contemplated hereby on a timely basis.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(b)</w:t>
      </w:r>
      <w:r>
        <w:rPr>
          <w:rFonts w:ascii="Times New Roman" w:hAnsi="Times New Roman"/>
          <w:color w:val="000000"/>
          <w:sz w:val="20"/>
        </w:rPr>
        <w:t>          No consent of, or filing, declaration or registration with, any Governmental Authority is necessary for the execution and delivery of this Agreement by such Holder or the performance by such Holder of such Holder’s obligations hereunder, other than filings with the SEC under the Exchange Act and such reports under, and such other compliance with, the Exchange Act and other applicable securities Laws as may be required in connection with this Agreement and the transactions contemplated by this Agreement and the Merger Agreement.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2.05</w:t>
      </w:r>
      <w:r>
        <w:rPr>
          <w:rFonts w:ascii="Times New Roman" w:hAnsi="Times New Roman"/>
          <w:color w:val="000000"/>
          <w:sz w:val="20"/>
        </w:rPr>
        <w:t>          </w:t>
      </w:r>
      <w:r>
        <w:rPr>
          <w:rFonts w:ascii="Times New Roman" w:hAnsi="Times New Roman"/>
          <w:color w:val="000000"/>
          <w:sz w:val="20"/>
          <w:u w:val="single"/>
        </w:rPr>
        <w:t>Litigation</w:t>
      </w:r>
      <w:r>
        <w:rPr>
          <w:rFonts w:ascii="Times New Roman" w:hAnsi="Times New Roman"/>
          <w:color w:val="000000"/>
          <w:sz w:val="20"/>
        </w:rPr>
        <w:t>.  As of the date hereof, there is no pending or, to the knowledge of such Holder, threatened in writing, legal, civil, criminal or administrative Action against such Holder except as would not, individually or in the aggregate, be reasonably expected to prevent or materially impair or interfere with the ability of such Holder to perform such Holder’s obligations hereunder in any material respect or consummate the transactions contemplated hereby on a timely basis.  There is no outstanding Judgment imposed upon such Holder or any of such Holder’s Affiliates except as would not, individually or in the aggregate, be reasonably expected to prevent or materially impair or interfere with the ability of such Holder to perform such Holder’s obligations hereunder in any material respect on a timely basis.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2.06</w:t>
      </w:r>
      <w:r>
        <w:rPr>
          <w:rFonts w:ascii="Times New Roman" w:hAnsi="Times New Roman"/>
          <w:color w:val="000000"/>
          <w:sz w:val="20"/>
        </w:rPr>
        <w:t>          </w:t>
      </w:r>
      <w:r>
        <w:rPr>
          <w:rFonts w:ascii="Times New Roman" w:hAnsi="Times New Roman"/>
          <w:color w:val="000000"/>
          <w:sz w:val="20"/>
          <w:u w:val="single"/>
        </w:rPr>
        <w:t>Brokers</w:t>
      </w:r>
      <w:r>
        <w:rPr>
          <w:rFonts w:ascii="Times New Roman" w:hAnsi="Times New Roman"/>
          <w:color w:val="000000"/>
          <w:sz w:val="20"/>
        </w:rPr>
        <w:t>.  No broker, investment banker, financial advisor or other Person is entitled to any broker’s, finder’s, financial advisor’s or other similar fee or commission in connection with the transactions contemplated by this Agreement based upon arrangements made by or, to the knowledge of such Holder, on behalf of such Holder.</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2.07</w:t>
      </w:r>
      <w:r>
        <w:rPr>
          <w:rFonts w:ascii="Times New Roman" w:hAnsi="Times New Roman"/>
          <w:color w:val="000000"/>
          <w:sz w:val="20"/>
        </w:rPr>
        <w:t>          </w:t>
      </w:r>
      <w:r>
        <w:rPr>
          <w:rFonts w:ascii="Times New Roman" w:hAnsi="Times New Roman"/>
          <w:color w:val="000000"/>
          <w:sz w:val="20"/>
          <w:u w:val="single"/>
        </w:rPr>
        <w:t>Parent Reliance; Merger Agreement Governs</w:t>
      </w:r>
      <w:r>
        <w:rPr>
          <w:rFonts w:ascii="Times New Roman" w:hAnsi="Times New Roman"/>
          <w:color w:val="000000"/>
          <w:sz w:val="20"/>
        </w:rPr>
        <w:t>.  Such Holder understands and acknowledges that Parent is entering into the Merger Agreement in reliance upon the execution and delivery of this Agreement by such Holder and the representations, warranties and covenants of such Holder contained herein.  The Merger Agreement governs the terms of the Merger and the other transactions contemplated thereby.</w:t>
      </w:r>
    </w:p>
    <w:p>
      <w:pPr>
        <w:pStyle w:val="TextBody"/>
        <w:bidi w:val="0"/>
        <w:spacing w:before="0" w:after="0"/>
        <w:jc w:val="left"/>
        <w:rPr/>
      </w:pPr>
      <w:r>
        <w:rPr/>
      </w:r>
    </w:p>
    <w:p>
      <w:pPr>
        <w:pStyle w:val="TextBody"/>
        <w:bidi w:val="0"/>
        <w:spacing w:before="0" w:after="0"/>
        <w:jc w:val="center"/>
        <w:rPr>
          <w:rFonts w:ascii="Times New Roman" w:hAnsi="Times New Roman"/>
          <w:color w:val="010000"/>
          <w:sz w:val="20"/>
        </w:rPr>
      </w:pPr>
      <w:r>
        <w:rPr>
          <w:rFonts w:ascii="Times New Roman" w:hAnsi="Times New Roman"/>
          <w:color w:val="010000"/>
          <w:sz w:val="20"/>
        </w:rPr>
        <w:t>ARTICLE III</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u w:val="single"/>
        </w:rPr>
      </w:pPr>
      <w:r>
        <w:rPr>
          <w:rFonts w:ascii="Times New Roman" w:hAnsi="Times New Roman"/>
          <w:color w:val="000000"/>
          <w:sz w:val="20"/>
          <w:u w:val="single"/>
        </w:rPr>
        <w:t>Representations and Warranties of Parent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Parent hereby represents and warrants to the Holders that:</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10000"/>
          <w:sz w:val="20"/>
        </w:rPr>
        <w:t>Section 3.01</w:t>
      </w:r>
      <w:r>
        <w:rPr>
          <w:rFonts w:ascii="Times New Roman" w:hAnsi="Times New Roman"/>
          <w:color w:val="000000"/>
          <w:sz w:val="20"/>
        </w:rPr>
        <w:t>          </w:t>
      </w:r>
      <w:r>
        <w:rPr>
          <w:rFonts w:ascii="Times New Roman" w:hAnsi="Times New Roman"/>
          <w:color w:val="000000"/>
          <w:sz w:val="20"/>
          <w:u w:val="single"/>
        </w:rPr>
        <w:t>Organization</w:t>
      </w:r>
      <w:r>
        <w:rPr>
          <w:rFonts w:ascii="Times New Roman" w:hAnsi="Times New Roman"/>
          <w:color w:val="000000"/>
          <w:sz w:val="20"/>
        </w:rPr>
        <w:t>.  Parent is a corporation duly organized, validly existing and in good standing under the Laws of Delaware.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3.02</w:t>
      </w:r>
      <w:r>
        <w:rPr>
          <w:rFonts w:ascii="Times New Roman" w:hAnsi="Times New Roman"/>
          <w:color w:val="000000"/>
          <w:sz w:val="20"/>
        </w:rPr>
        <w:t>          </w:t>
      </w:r>
      <w:r>
        <w:rPr>
          <w:rFonts w:ascii="Times New Roman" w:hAnsi="Times New Roman"/>
          <w:color w:val="000000"/>
          <w:sz w:val="20"/>
          <w:u w:val="single"/>
        </w:rPr>
        <w:t>Authority; Execution and Delivery; Enforceability</w:t>
      </w:r>
      <w:r>
        <w:rPr>
          <w:rFonts w:ascii="Times New Roman" w:hAnsi="Times New Roman"/>
          <w:color w:val="000000"/>
          <w:sz w:val="20"/>
        </w:rPr>
        <w:t>.  Parent has all necessary power and authority to execute and deliver this Agreement and to perform Parent’s obligations hereunder.  The execution and delivery by Parent of this Agreement and the performance by Parent of Parent’s obligations hereunder have been duly authorized and approved by all requisite action, and no other action on the part of Parent is necessary to authorize the execution and delivery of this Agreement or the performance by Parent of Parent’s obligations hereunder.  This Agreement has been duly executed and delivered by Parent and, assuming due authorization, execution and delivery hereof by the Holders, constitutes a legal, valid and binding obligation of Parent, enforceable against Parent in accordance with its terms, except as enforcement may be limited by the Bankruptcy and Equity Exception.</w:t>
      </w:r>
    </w:p>
    <w:p>
      <w:pPr>
        <w:pStyle w:val="TextBody"/>
        <w:bidi w:val="0"/>
        <w:spacing w:before="0" w:after="0"/>
        <w:jc w:val="left"/>
        <w:rPr/>
      </w:pPr>
      <w:r>
        <w:rPr/>
      </w:r>
    </w:p>
    <w:p>
      <w:pPr>
        <w:pStyle w:val="TextBody"/>
        <w:bidi w:val="0"/>
        <w:spacing w:before="0" w:after="0"/>
        <w:jc w:val="center"/>
        <w:rPr>
          <w:rFonts w:ascii="Times New Roman" w:hAnsi="Times New Roman"/>
          <w:color w:val="010000"/>
          <w:sz w:val="20"/>
        </w:rPr>
      </w:pPr>
      <w:r>
        <w:rPr>
          <w:rFonts w:ascii="Times New Roman" w:hAnsi="Times New Roman"/>
          <w:color w:val="010000"/>
          <w:sz w:val="20"/>
        </w:rPr>
        <w:t>ARTICLE IV</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u w:val="single"/>
        </w:rPr>
      </w:pPr>
      <w:r>
        <w:rPr>
          <w:rFonts w:ascii="Times New Roman" w:hAnsi="Times New Roman"/>
          <w:color w:val="000000"/>
          <w:sz w:val="20"/>
          <w:u w:val="single"/>
        </w:rPr>
        <w:t>Covenants of Holders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10000"/>
          <w:sz w:val="20"/>
        </w:rPr>
        <w:t>Section 4.01</w:t>
      </w:r>
      <w:r>
        <w:rPr>
          <w:rFonts w:ascii="Times New Roman" w:hAnsi="Times New Roman"/>
          <w:color w:val="000000"/>
          <w:sz w:val="20"/>
        </w:rPr>
        <w:t>          </w:t>
      </w:r>
      <w:r>
        <w:rPr>
          <w:rFonts w:ascii="Times New Roman" w:hAnsi="Times New Roman"/>
          <w:color w:val="000000"/>
          <w:sz w:val="20"/>
          <w:u w:val="single"/>
        </w:rPr>
        <w:t>Agreement to Vote</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(a)</w:t>
      </w:r>
      <w:r>
        <w:rPr>
          <w:rFonts w:ascii="Times New Roman" w:hAnsi="Times New Roman"/>
          <w:color w:val="000000"/>
          <w:sz w:val="20"/>
        </w:rPr>
        <w:t xml:space="preserve">          Subject to the terms of this Agreement, each Holder irrevocably and unconditionally agrees that at the Company Stockholders’ Meeting or at any other meeting of the Company’s stockholders (whether annual or special and whether or not an adjourned or postponed meeting, however called, and including any adjournment or postponement thereof) and, with respect to the matters described below in </w:t>
      </w:r>
      <w:r>
        <w:rPr>
          <w:rFonts w:ascii="Times New Roman" w:hAnsi="Times New Roman"/>
          <w:color w:val="000000"/>
          <w:sz w:val="20"/>
          <w:u w:val="single"/>
        </w:rPr>
        <w:t>clauses (ii)(A)</w:t>
      </w:r>
      <w:r>
        <w:rPr>
          <w:rFonts w:ascii="Times New Roman" w:hAnsi="Times New Roman"/>
          <w:color w:val="000000"/>
          <w:sz w:val="20"/>
        </w:rPr>
        <w:t xml:space="preserve"> through </w:t>
      </w:r>
      <w:r>
        <w:rPr>
          <w:rFonts w:ascii="Times New Roman" w:hAnsi="Times New Roman"/>
          <w:color w:val="000000"/>
          <w:sz w:val="20"/>
          <w:u w:val="single"/>
        </w:rPr>
        <w:t>(ii)(D)</w:t>
      </w:r>
      <w:r>
        <w:rPr>
          <w:rFonts w:ascii="Times New Roman" w:hAnsi="Times New Roman"/>
          <w:color w:val="000000"/>
          <w:sz w:val="20"/>
        </w:rPr>
        <w:t xml:space="preserve">, in connection with any action proposed to be taken by written consent of the Company’s stockholders:  (i) when such a meeting of the Company’s stockholders is held, such Holder shall appear at such meeting or otherwise cause the Subject Shares to be counted as present thereat for the purpose of establishing a quorum and, if applicable, vote in favor of any proposal to adjourn, recess or postpone any meeting of the Company’s stockholders at which the Merger Agreement or any other actions contemplated by the Merger Agreement is submitted for the consideration and vote of the Company’s stockholders to a later date if there are not proxies representing a sufficient number of shares of Company Common Stock to approve such matters on the date on which the meeting is held, and (ii) such Holder shall vote or cause to be voted at any such meeting (and at every postponement, recess or adjournment thereof), or execute and deliver or cause to be executed and delivered a written consent with respect to, all of such Holder’s Subject Shares (A) in favor of adopting the Merger Agreement and any other actions contemplated by the Merger Agreement in respect of which the approval of the Company’s stockholders is requested; (B) in favor of adoption of any proposal in respect of which the Board of Directors of the Company has (1) determined is reasonably necessary to facilitate any of the transactions contemplated by the Merger Agreement, (2) disclosed the determination described in the foregoing </w:t>
      </w:r>
      <w:r>
        <w:rPr>
          <w:rFonts w:ascii="Times New Roman" w:hAnsi="Times New Roman"/>
          <w:color w:val="000000"/>
          <w:sz w:val="20"/>
          <w:u w:val="single"/>
        </w:rPr>
        <w:t>clause (1)</w:t>
      </w:r>
      <w:r>
        <w:rPr>
          <w:rFonts w:ascii="Times New Roman" w:hAnsi="Times New Roman"/>
          <w:color w:val="000000"/>
          <w:sz w:val="20"/>
        </w:rPr>
        <w:t xml:space="preserve"> in the Proxy Statement or other written materials disseminated to the Company’s stockholders and (3) recommended to be adopted or approved by the Company’s stockholders; (C) in favor of any proposal (to the extent permitted by the Merger Agreement) to adjourn, recess or postpone the applicable meeting; and (D) against (1) any Takeover Proposal, whether or not constituting a Superior Proposal and (2) any action, proposal, transaction or agreement involving the Company or any of its Subsidiaries or any of the Affiliated Professional Entities that would reasonably likely be intended, or would reasonably be expected, to materially impede, interfere with, delay, postpone, affect in an adverse manner or prevent the consummation of the Merger or the other transactions contemplated by the Merger Agreement.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(b)</w:t>
      </w:r>
      <w:r>
        <w:rPr>
          <w:rFonts w:ascii="Times New Roman" w:hAnsi="Times New Roman"/>
          <w:color w:val="000000"/>
          <w:sz w:val="20"/>
        </w:rPr>
        <w:t xml:space="preserve">          Each Holder hereby covenants and agrees that such Holder shall not (i) enter into any agreement or undertaking (including any agreement or undertaking with a Person to vote or give instructions in a manner inconsistent with this </w:t>
      </w:r>
      <w:r>
        <w:rPr>
          <w:rFonts w:ascii="Times New Roman" w:hAnsi="Times New Roman"/>
          <w:color w:val="000000"/>
          <w:sz w:val="20"/>
          <w:u w:val="single"/>
        </w:rPr>
        <w:t>Section 4.01</w:t>
      </w:r>
      <w:r>
        <w:rPr>
          <w:rFonts w:ascii="Times New Roman" w:hAnsi="Times New Roman"/>
          <w:color w:val="000000"/>
          <w:sz w:val="20"/>
        </w:rPr>
        <w:t>) or (ii) take any action or commit or agree to take any action, that would reasonably be expected to materially prevent, impair or interfere with such Holder’s ability to perform any of such Holder’s obligations pursuant to this Agreement.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(c)</w:t>
      </w:r>
      <w:r>
        <w:rPr>
          <w:rFonts w:ascii="Times New Roman" w:hAnsi="Times New Roman"/>
          <w:color w:val="000000"/>
          <w:sz w:val="20"/>
        </w:rPr>
        <w:t>          Each Holder hereby revokes (and agrees to cause to be revoked) any and all proxies, if any, that such Holder has heretofore granted with respect to such Holder’s Subject Shares.</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(d)</w:t>
      </w:r>
      <w:r>
        <w:rPr>
          <w:rFonts w:ascii="Times New Roman" w:hAnsi="Times New Roman"/>
          <w:color w:val="000000"/>
          <w:sz w:val="20"/>
        </w:rPr>
        <w:t>          Nothing contained in this Agreement shall be deemed to vest in Parent any direct or indirect ownership or incidence of ownership of or with respect to any Subject Shares.  All rights, ownership and economic benefits of and relating to the Subject Shares shall remain vested in and belong to the Holders.  Furthermore, nothing contained in this Agreement shall require the Holders to:  (i) convert, exercise or exchange any option or convertible securities in order to obtain any underlying Shares or (ii) vote, or execute any consent with respect to, any Shares underlying such options or convertible securities that have not yet been issued as of the applicable record date for that vote or consent.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4.02</w:t>
      </w:r>
      <w:r>
        <w:rPr>
          <w:rFonts w:ascii="Times New Roman" w:hAnsi="Times New Roman"/>
          <w:color w:val="000000"/>
          <w:sz w:val="20"/>
        </w:rPr>
        <w:t>          </w:t>
      </w:r>
      <w:r>
        <w:rPr>
          <w:rFonts w:ascii="Times New Roman" w:hAnsi="Times New Roman"/>
          <w:color w:val="000000"/>
          <w:sz w:val="20"/>
          <w:u w:val="single"/>
        </w:rPr>
        <w:t>Proxy Card</w:t>
      </w:r>
      <w:r>
        <w:rPr>
          <w:rFonts w:ascii="Times New Roman" w:hAnsi="Times New Roman"/>
          <w:color w:val="000000"/>
          <w:sz w:val="20"/>
        </w:rPr>
        <w:t xml:space="preserve">.  Each Holder shall promptly (but in any event no later than five (5) Business Days prior to the Company Stockholders’ Meeting) execute and deliver to the Company or the Company’s proxy solicitor (or cause the holders of record of such Holder’s Subject Shares to execute and deliver to the Company or the Company’s proxy solicitor) any proxy card or voting instructions such Holder receives that is sent by the Company to its stockholders soliciting proxies with respect to any matter described in </w:t>
      </w:r>
      <w:r>
        <w:rPr>
          <w:rFonts w:ascii="Times New Roman" w:hAnsi="Times New Roman"/>
          <w:color w:val="000000"/>
          <w:sz w:val="20"/>
          <w:u w:val="single"/>
        </w:rPr>
        <w:t>Section 4.01(a)</w:t>
      </w:r>
      <w:r>
        <w:rPr>
          <w:rFonts w:ascii="Times New Roman" w:hAnsi="Times New Roman"/>
          <w:color w:val="000000"/>
          <w:sz w:val="20"/>
        </w:rPr>
        <w:t xml:space="preserve"> which shall be voted in the manner described in </w:t>
      </w:r>
      <w:r>
        <w:rPr>
          <w:rFonts w:ascii="Times New Roman" w:hAnsi="Times New Roman"/>
          <w:color w:val="000000"/>
          <w:sz w:val="20"/>
          <w:u w:val="single"/>
        </w:rPr>
        <w:t>Section 4.01(a)</w:t>
      </w:r>
      <w:r>
        <w:rPr>
          <w:rFonts w:ascii="Times New Roman" w:hAnsi="Times New Roman"/>
          <w:color w:val="000000"/>
          <w:sz w:val="20"/>
        </w:rPr>
        <w:t>, and such proxy card or voting instructions shall not be amended, withdrawn or rescinded.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4.03</w:t>
      </w:r>
      <w:r>
        <w:rPr>
          <w:rFonts w:ascii="Times New Roman" w:hAnsi="Times New Roman"/>
          <w:color w:val="000000"/>
          <w:sz w:val="20"/>
        </w:rPr>
        <w:t>          </w:t>
      </w:r>
      <w:r>
        <w:rPr>
          <w:rFonts w:ascii="Times New Roman" w:hAnsi="Times New Roman"/>
          <w:color w:val="000000"/>
          <w:sz w:val="20"/>
          <w:u w:val="single"/>
        </w:rPr>
        <w:t>Transfer and Other Restrictions</w:t>
      </w:r>
      <w:r>
        <w:rPr>
          <w:rFonts w:ascii="Times New Roman" w:hAnsi="Times New Roman"/>
          <w:color w:val="000000"/>
          <w:sz w:val="20"/>
        </w:rPr>
        <w:t xml:space="preserve">.  Prior to the Termination Date, each Holder shall not, directly or indirectly, (a) Transfer, or enter into any Contract, option or other arrangement or understanding with respect to the Transfer of, any Subject Shares to any Person, (b) tender into any tender or exchange offer any Subject Shares, whether voluntarily, involuntarily, by operation or otherwise or (c) enter into any voting arrangement, whether by proxy, voting agreement or otherwise, or grant a proxy or power of attorney or any other Contract, option or other arrangement or understanding with respect to the tendering, voting of or sale, transfer, assignment, pledge, encumbrance, hypothecation or similar disposition of (including by merger, by tendering into any tender or exchange offer, by testamentary disposition, by operation of law or otherwise) with respect to any Subject Shares, or deposit any Subject Shares into a voting trust.  Notwithstanding the immediately preceding sentence, this </w:t>
      </w:r>
      <w:r>
        <w:rPr>
          <w:rFonts w:ascii="Times New Roman" w:hAnsi="Times New Roman"/>
          <w:color w:val="000000"/>
          <w:sz w:val="20"/>
          <w:u w:val="single"/>
        </w:rPr>
        <w:t>Section 4.03</w:t>
      </w:r>
      <w:r>
        <w:rPr>
          <w:rFonts w:ascii="Times New Roman" w:hAnsi="Times New Roman"/>
          <w:color w:val="000000"/>
          <w:sz w:val="20"/>
        </w:rPr>
        <w:t xml:space="preserve"> shall not prohibit (i) a Transfer of any Subject Shares by a Holder (A) if such Holder is an individual, to any immediate family member, including any spouse, brother or sister, adopted child or grandchild, or the spouse of any child, adopted child, grandchild, or adopted grandchild, or lineal descendant or antecedent of such Holder or a trust for the benefit of any such family member or lineal descendant or antecedent, (B) to any corporation, limited liability company, or partnership, the stockholders, members, and general and limited partners of which include only the persons named in the preceding </w:t>
      </w:r>
      <w:r>
        <w:rPr>
          <w:rFonts w:ascii="Times New Roman" w:hAnsi="Times New Roman"/>
          <w:color w:val="000000"/>
          <w:sz w:val="20"/>
          <w:u w:val="single"/>
        </w:rPr>
        <w:t>clause (i)(A)</w:t>
      </w:r>
      <w:r>
        <w:rPr>
          <w:rFonts w:ascii="Times New Roman" w:hAnsi="Times New Roman"/>
          <w:color w:val="000000"/>
          <w:sz w:val="20"/>
        </w:rPr>
        <w:t xml:space="preserve"> or (C) to any person or entity if and solely to the extent required by any non-consensual, final and non-appealable Judgment, by divorce decree or by will or intestacy, or (D) as Parent may agree (prior to such Transfer) in writing in Parent’s sole and absolute discretion, so long as and only if, in the case of each of the foregoing </w:t>
      </w:r>
      <w:r>
        <w:rPr>
          <w:rFonts w:ascii="Times New Roman" w:hAnsi="Times New Roman"/>
          <w:color w:val="000000"/>
          <w:sz w:val="20"/>
          <w:u w:val="single"/>
        </w:rPr>
        <w:t>clauses (i)(A)</w:t>
      </w:r>
      <w:r>
        <w:rPr>
          <w:rFonts w:ascii="Times New Roman" w:hAnsi="Times New Roman"/>
          <w:color w:val="000000"/>
          <w:sz w:val="20"/>
        </w:rPr>
        <w:t xml:space="preserve"> through </w:t>
      </w:r>
      <w:r>
        <w:rPr>
          <w:rFonts w:ascii="Times New Roman" w:hAnsi="Times New Roman"/>
          <w:color w:val="000000"/>
          <w:sz w:val="20"/>
          <w:u w:val="single"/>
        </w:rPr>
        <w:t>(i)(D)</w:t>
      </w:r>
      <w:r>
        <w:rPr>
          <w:rFonts w:ascii="Times New Roman" w:hAnsi="Times New Roman"/>
          <w:color w:val="000000"/>
          <w:sz w:val="20"/>
        </w:rPr>
        <w:t xml:space="preserve">, the assignee or transferee of such Subject Shares agrees to be bound by the terms of this Agreement to the same effect as such Holder and executes and delivers to Parent a written consent and joinder memorializing such agreement in form reasonably acceptable to Parent, or (ii) (A) the net settlement of such Holder’s options to purchase shares of Company Common Stock (to pay the exercise price thereof and any tax withholding obligations), (B) the net settlement of such Holder’s Company RSU settled in shares of Company Common Stock (to pay any tax withholding obligations), (C) the exercise of such Holder’s Company Stock Options, to the extent such Company Stock Options would expire prior to the Effective Time, or (D) the sale of a sufficient number of shares of Company Common Stock acquired upon exercise of such Holder’s Company Stock Options pursuant to the foregoing </w:t>
      </w:r>
      <w:r>
        <w:rPr>
          <w:rFonts w:ascii="Times New Roman" w:hAnsi="Times New Roman"/>
          <w:color w:val="000000"/>
          <w:sz w:val="20"/>
          <w:u w:val="single"/>
        </w:rPr>
        <w:t>clause (ii)(C)</w:t>
      </w:r>
      <w:r>
        <w:rPr>
          <w:rFonts w:ascii="Times New Roman" w:hAnsi="Times New Roman"/>
          <w:color w:val="000000"/>
          <w:sz w:val="20"/>
        </w:rPr>
        <w:t xml:space="preserve"> or upon the settlement of such Holder’s Company RSU, in each case as would generate sales proceeds sufficient to pay the aggregate applicable exercise price of shares then exercised under such Company Stock Options and the taxes payable by such Holder as a result of such exercise or settlement.  Any attempted Transfer of, or other action with respect to, Subject Shares or any interest therein in violation of this </w:t>
      </w:r>
      <w:r>
        <w:rPr>
          <w:rFonts w:ascii="Times New Roman" w:hAnsi="Times New Roman"/>
          <w:color w:val="000000"/>
          <w:sz w:val="20"/>
          <w:u w:val="single"/>
        </w:rPr>
        <w:t>Section 4.03</w:t>
      </w:r>
      <w:r>
        <w:rPr>
          <w:rFonts w:ascii="Times New Roman" w:hAnsi="Times New Roman"/>
          <w:color w:val="000000"/>
          <w:sz w:val="20"/>
        </w:rPr>
        <w:t xml:space="preserve"> shall be null and void </w:t>
      </w:r>
      <w:r>
        <w:rPr>
          <w:rFonts w:ascii="Times New Roman" w:hAnsi="Times New Roman"/>
          <w:i/>
          <w:color w:val="000000"/>
          <w:sz w:val="20"/>
        </w:rPr>
        <w:t>ab initio</w:t>
      </w:r>
      <w:r>
        <w:rPr>
          <w:rFonts w:ascii="Times New Roman" w:hAnsi="Times New Roman"/>
          <w:color w:val="000000"/>
          <w:sz w:val="20"/>
        </w:rPr>
        <w: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4.04</w:t>
      </w:r>
      <w:r>
        <w:rPr>
          <w:rFonts w:ascii="Times New Roman" w:hAnsi="Times New Roman"/>
          <w:color w:val="000000"/>
          <w:sz w:val="20"/>
        </w:rPr>
        <w:t>          </w:t>
      </w:r>
      <w:r>
        <w:rPr>
          <w:rFonts w:ascii="Times New Roman" w:hAnsi="Times New Roman"/>
          <w:color w:val="000000"/>
          <w:sz w:val="20"/>
          <w:u w:val="single"/>
        </w:rPr>
        <w:t>Stock Dividends, etc</w:t>
      </w:r>
      <w:r>
        <w:rPr>
          <w:rFonts w:ascii="Times New Roman" w:hAnsi="Times New Roman"/>
          <w:color w:val="000000"/>
          <w:sz w:val="20"/>
        </w:rPr>
        <w:t>.  If, between the date of this Agreement and the Effective Time, the issued and outstanding Shares shall have been changed into a different number of shares or a different class by reason of the occurrence or record date of any stock dividend, subdivision, reclassification, recapitalization, split, combination, exchange of shares or similar transaction, the terms “Existing Shares,” “New Shares” and “Subject Shares” shall be appropriately adjusted to reflect such stock dividend, subdivision, reclassification, recapitalization, split, combination, exchange of shares or similar transaction.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4.05</w:t>
      </w:r>
      <w:r>
        <w:rPr>
          <w:rFonts w:ascii="Times New Roman" w:hAnsi="Times New Roman"/>
          <w:color w:val="000000"/>
          <w:sz w:val="20"/>
        </w:rPr>
        <w:t>          </w:t>
      </w:r>
      <w:r>
        <w:rPr>
          <w:rFonts w:ascii="Times New Roman" w:hAnsi="Times New Roman"/>
          <w:color w:val="000000"/>
          <w:sz w:val="20"/>
          <w:u w:val="single"/>
        </w:rPr>
        <w:t>Waiver of Appraisal Rights</w:t>
      </w:r>
      <w:r>
        <w:rPr>
          <w:rFonts w:ascii="Times New Roman" w:hAnsi="Times New Roman"/>
          <w:color w:val="000000"/>
          <w:sz w:val="20"/>
        </w:rPr>
        <w:t>.  Each Holder hereby irrevocably and unconditionally waives, and shall cause to be waived, any and all rights of appraisal or rights to dissent from the Merger or the other transactions contemplated by the Merger Agreement that such Holder may have under applicable Law.  In addition, each Holder agrees not to demand or commence any appraisal proceeding under Section 262 of the DGCL with respect to such Holder’s Subject Shares.</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4.06</w:t>
      </w:r>
      <w:r>
        <w:rPr>
          <w:rFonts w:ascii="Times New Roman" w:hAnsi="Times New Roman"/>
          <w:color w:val="000000"/>
          <w:sz w:val="20"/>
        </w:rPr>
        <w:t>          </w:t>
      </w:r>
      <w:r>
        <w:rPr>
          <w:rFonts w:ascii="Times New Roman" w:hAnsi="Times New Roman"/>
          <w:color w:val="000000"/>
          <w:sz w:val="20"/>
          <w:u w:val="single"/>
        </w:rPr>
        <w:t>Disclosure</w:t>
      </w:r>
      <w:r>
        <w:rPr>
          <w:rFonts w:ascii="Times New Roman" w:hAnsi="Times New Roman"/>
          <w:color w:val="000000"/>
          <w:sz w:val="20"/>
        </w:rPr>
        <w:t>.  Each Holder hereby authorizes the Company, Parent and Merger Sub to publish and disclose in any announcement or disclosure required by the SEC and in the Proxy Statement and the filings required under applicable Law in connection with the Merger and any transactions contemplated by the Merger Agreement, each Holder’s identity and ownership of the Subject Shares and the nature of each Holder’s obligations under this Agreement after providing each Holder with a reasonable opportunity to review and approve (such approval not to be unreasonably withheld, conditioned or delayed) such publication or disclosure prior to any such publication or disclosure.  Parent hereby authorizes each Holder to disclose in any disclosure required by any Governmental Authority Parent’s identity and the nature of Parent’s obligations under this Agreement.  Parent will not make any other disclosures regarding any Holder in any press release or otherwise without the prior written consent of such Holder (such approval not to be unreasonably withheld, conditioned or delayed).</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4.07</w:t>
      </w:r>
      <w:r>
        <w:rPr>
          <w:rFonts w:ascii="Times New Roman" w:hAnsi="Times New Roman"/>
          <w:color w:val="000000"/>
          <w:sz w:val="20"/>
        </w:rPr>
        <w:t>          </w:t>
      </w:r>
      <w:r>
        <w:rPr>
          <w:rFonts w:ascii="Times New Roman" w:hAnsi="Times New Roman"/>
          <w:color w:val="000000"/>
          <w:sz w:val="20"/>
          <w:u w:val="single"/>
        </w:rPr>
        <w:t>Fiduciary Responsibilities</w:t>
      </w:r>
      <w:r>
        <w:rPr>
          <w:rFonts w:ascii="Times New Roman" w:hAnsi="Times New Roman"/>
          <w:color w:val="000000"/>
          <w:sz w:val="20"/>
        </w:rPr>
        <w:t>.  Notwithstanding any provision of this Agreement to the contrary, this Agreement shall apply to each Holder solely in its capacity as a holder of Shares and not in any other capacity, and nothing in this Agreement shall limit, restrict or affect the rights, obligations and actions of (a) such Holder in such Holder’s capacity as an officer, director or employee of the Company and (b) any officer or director or designee of the Holders or their Affiliates serving on the Board of Directors of the Company from taking any action in his or her capacity as a director or officer of the Company or voting or providing written consent as a director of the Company in his or her sole discretion on any matter, whether in connection with the Merger Agreement or otherwise, and no action or omissions by any such Persons in his or her capacity as a director or officer of the Company shall be deemed to constitute a breach of any provision of this Agreement.  However, for the avoidance of doubt, except as expressly provided otherwise in this Agreement, an Adverse Recommendation Change shall not relieve any such Holder of any obligation hereunder with respect to the Shares beneficially owned by such Holder or any New Shares.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4.08</w:t>
      </w:r>
      <w:r>
        <w:rPr>
          <w:rFonts w:ascii="Times New Roman" w:hAnsi="Times New Roman"/>
          <w:color w:val="000000"/>
          <w:sz w:val="20"/>
        </w:rPr>
        <w:t>          </w:t>
      </w:r>
      <w:r>
        <w:rPr>
          <w:rFonts w:ascii="Times New Roman" w:hAnsi="Times New Roman"/>
          <w:color w:val="000000"/>
          <w:sz w:val="20"/>
          <w:u w:val="single"/>
        </w:rPr>
        <w:t>Additional Existing Shares</w:t>
      </w:r>
      <w:r>
        <w:rPr>
          <w:rFonts w:ascii="Times New Roman" w:hAnsi="Times New Roman"/>
          <w:color w:val="000000"/>
          <w:sz w:val="20"/>
        </w:rPr>
        <w:t>.  Each Holder shall provide as promptly as reasonably practicable written notice to Parent of any additional Shares of which such Holder becomes the “beneficial owner” after the date hereof and during the term of this Agreement.  Each Holder agrees that New Shares shall be subject to the terms and conditions of this Agreement to the same extent as if such New Shares constituted Existing Shares on the date hereof.</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4.09</w:t>
      </w:r>
      <w:r>
        <w:rPr>
          <w:rFonts w:ascii="Times New Roman" w:hAnsi="Times New Roman"/>
          <w:color w:val="000000"/>
          <w:sz w:val="20"/>
        </w:rPr>
        <w:t>          </w:t>
      </w:r>
      <w:r>
        <w:rPr>
          <w:rFonts w:ascii="Times New Roman" w:hAnsi="Times New Roman"/>
          <w:color w:val="000000"/>
          <w:sz w:val="20"/>
          <w:u w:val="single"/>
        </w:rPr>
        <w:t>No Participation in Litigation</w:t>
      </w:r>
      <w:r>
        <w:rPr>
          <w:rFonts w:ascii="Times New Roman" w:hAnsi="Times New Roman"/>
          <w:color w:val="000000"/>
          <w:sz w:val="20"/>
        </w:rPr>
        <w:t xml:space="preserve">.  Each Holder hereby agrees not to commence or participate in, and agrees to use reasonable best efforts to, if requested by Parent, take all actions necessary to opt out of any class in any class action with respect to, any claim, action, litigation or proceeding, derivative or otherwise, against Parent, Merger Sub, the Company or any of their respective Affiliates or any of the Affiliated Professional Entities relating to the negotiation, execution or delivery of this Agreement or the Merger Agreement or the consummation of the Merger, including any claim, action, litigation or proceeding (a) challenging the validity, or seeking to enjoin the operation, of any provision of this Agreement or the Merger Agreement or (b) alleging a breach of any fiduciary duty of any members of the Board of Directors of the Company in connection with the Merger Agreement or the transactions contemplated thereby;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the foregoing shall not restrict such Holder from enforcing any of his, her or its rights under the Merger Agreement or this Agreement.</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r>
    </w:p>
    <w:p>
      <w:pPr>
        <w:pStyle w:val="TextBody"/>
        <w:bidi w:val="0"/>
        <w:spacing w:before="0" w:after="0"/>
        <w:ind w:left="0" w:right="0" w:firstLine="720"/>
        <w:jc w:val="center"/>
        <w:rPr>
          <w:rFonts w:ascii="Times New Roman" w:hAnsi="Times New Roman"/>
          <w:color w:val="010000"/>
          <w:sz w:val="20"/>
        </w:rPr>
      </w:pPr>
      <w:r>
        <w:rPr>
          <w:rFonts w:ascii="Times New Roman" w:hAnsi="Times New Roman"/>
          <w:color w:val="010000"/>
          <w:sz w:val="20"/>
        </w:rPr>
        <w:t>ARTICLE V</w:t>
      </w:r>
    </w:p>
    <w:p>
      <w:pPr>
        <w:pStyle w:val="TextBody"/>
        <w:bidi w:val="0"/>
        <w:spacing w:before="0" w:after="0"/>
        <w:jc w:val="both"/>
        <w:rPr/>
      </w:pPr>
      <w:r>
        <w:rPr/>
      </w:r>
    </w:p>
    <w:p>
      <w:pPr>
        <w:pStyle w:val="TextBody"/>
        <w:bidi w:val="0"/>
        <w:spacing w:before="0" w:after="0"/>
        <w:jc w:val="center"/>
        <w:rPr>
          <w:rFonts w:ascii="Times New Roman" w:hAnsi="Times New Roman"/>
          <w:color w:val="000000"/>
          <w:sz w:val="20"/>
          <w:u w:val="single"/>
        </w:rPr>
      </w:pPr>
      <w:r>
        <w:rPr>
          <w:rFonts w:ascii="Times New Roman" w:hAnsi="Times New Roman"/>
          <w:color w:val="000000"/>
          <w:sz w:val="20"/>
          <w:u w:val="single"/>
        </w:rPr>
        <w:t>General Provisions</w:t>
      </w:r>
    </w:p>
    <w:p>
      <w:pPr>
        <w:pStyle w:val="TextBody"/>
        <w:bidi w:val="0"/>
        <w:spacing w:before="0" w:after="0"/>
        <w:jc w:val="both"/>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5.01</w:t>
      </w:r>
      <w:r>
        <w:rPr>
          <w:rFonts w:ascii="Times New Roman" w:hAnsi="Times New Roman"/>
          <w:color w:val="000000"/>
          <w:sz w:val="20"/>
        </w:rPr>
        <w:t>          </w:t>
      </w:r>
      <w:r>
        <w:rPr>
          <w:rFonts w:ascii="Times New Roman" w:hAnsi="Times New Roman"/>
          <w:color w:val="000000"/>
          <w:sz w:val="20"/>
          <w:u w:val="single"/>
        </w:rPr>
        <w:t>Notices</w:t>
      </w:r>
      <w:r>
        <w:rPr>
          <w:rFonts w:ascii="Times New Roman" w:hAnsi="Times New Roman"/>
          <w:color w:val="000000"/>
          <w:sz w:val="20"/>
        </w:rPr>
        <w:t>.  All notices, requests and other communications to any party hereunder shall be in writing and shall be deemed given if delivered personally, emailed (unless an automated message indicating non-delivery is received with respect thereto) or sent by nationally recognized overnight courier (providing proof of delivery) to the parties at the following addresses:</w:t>
      </w:r>
    </w:p>
    <w:p>
      <w:pPr>
        <w:pStyle w:val="TextBody"/>
        <w:bidi w:val="0"/>
        <w:spacing w:before="0" w:after="0"/>
        <w:jc w:val="both"/>
        <w:rPr/>
      </w:pPr>
      <w:r>
        <w:rPr/>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bookmarkStart w:id="32" w:name="zc8840f9e8a6141aab6bd788167cd23fc"/>
      <w:bookmarkStart w:id="33" w:name="zc8840f9e8a6141aab6bd788167cd23fc"/>
      <w:bookmarkEnd w:id="33"/>
    </w:p>
    <w:tbl>
      <w:tblPr>
        <w:tblW w:w="6019" w:type="dxa"/>
        <w:jc w:val="left"/>
        <w:tblInd w:w="0" w:type="dxa"/>
        <w:tblLayout w:type="fixed"/>
        <w:tblCellMar>
          <w:top w:w="0" w:type="dxa"/>
          <w:left w:w="0" w:type="dxa"/>
          <w:bottom w:w="0" w:type="dxa"/>
          <w:right w:w="0" w:type="dxa"/>
        </w:tblCellMar>
      </w:tblPr>
      <w:tblGrid>
        <w:gridCol w:w="60"/>
        <w:gridCol w:w="2058"/>
        <w:gridCol w:w="3901"/>
      </w:tblGrid>
      <w:tr>
        <w:trPr/>
        <w:tc>
          <w:tcPr>
            <w:tcW w:w="60" w:type="dxa"/>
            <w:tcBorders/>
            <w:vAlign w:val="center"/>
          </w:tcPr>
          <w:p>
            <w:pPr>
              <w:pStyle w:val="TableContents"/>
              <w:bidi w:val="0"/>
              <w:spacing w:before="0" w:after="283"/>
              <w:jc w:val="left"/>
              <w:rPr/>
            </w:pPr>
            <w:r>
              <w:rPr/>
              <w:t> </w:t>
            </w:r>
          </w:p>
        </w:tc>
        <w:tc>
          <w:tcPr>
            <w:tcW w:w="5959"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If to Parent, to:</w:t>
            </w:r>
          </w:p>
        </w:tc>
      </w:tr>
      <w:tr>
        <w:trPr/>
        <w:tc>
          <w:tcPr>
            <w:tcW w:w="60" w:type="dxa"/>
            <w:tcBorders/>
            <w:vAlign w:val="center"/>
          </w:tcPr>
          <w:p>
            <w:pPr>
              <w:pStyle w:val="TableContents"/>
              <w:bidi w:val="0"/>
              <w:spacing w:before="0" w:after="283"/>
              <w:jc w:val="left"/>
              <w:rPr/>
            </w:pPr>
            <w:r>
              <w:rPr/>
              <w:t> </w:t>
            </w:r>
          </w:p>
        </w:tc>
        <w:tc>
          <w:tcPr>
            <w:tcW w:w="5959"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959"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 Universal Health Services, Inc.</w:t>
            </w:r>
          </w:p>
        </w:tc>
      </w:tr>
      <w:tr>
        <w:trPr/>
        <w:tc>
          <w:tcPr>
            <w:tcW w:w="60" w:type="dxa"/>
            <w:tcBorders/>
            <w:vAlign w:val="center"/>
          </w:tcPr>
          <w:p>
            <w:pPr>
              <w:pStyle w:val="TableContents"/>
              <w:bidi w:val="0"/>
              <w:spacing w:before="0" w:after="283"/>
              <w:jc w:val="left"/>
              <w:rPr/>
            </w:pPr>
            <w:r>
              <w:rPr/>
              <w:t> </w:t>
            </w:r>
          </w:p>
        </w:tc>
        <w:tc>
          <w:tcPr>
            <w:tcW w:w="5959"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367 South Gulph Road</w:t>
            </w:r>
          </w:p>
        </w:tc>
      </w:tr>
      <w:tr>
        <w:trPr/>
        <w:tc>
          <w:tcPr>
            <w:tcW w:w="60" w:type="dxa"/>
            <w:tcBorders/>
            <w:vAlign w:val="center"/>
          </w:tcPr>
          <w:p>
            <w:pPr>
              <w:pStyle w:val="TableContents"/>
              <w:bidi w:val="0"/>
              <w:spacing w:before="0" w:after="283"/>
              <w:jc w:val="left"/>
              <w:rPr/>
            </w:pPr>
            <w:r>
              <w:rPr/>
              <w:t> </w:t>
            </w:r>
          </w:p>
        </w:tc>
        <w:tc>
          <w:tcPr>
            <w:tcW w:w="5959"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King of Prussia, PA 19406</w:t>
            </w:r>
          </w:p>
        </w:tc>
      </w:tr>
      <w:tr>
        <w:trPr/>
        <w:tc>
          <w:tcPr>
            <w:tcW w:w="60" w:type="dxa"/>
            <w:tcBorders/>
            <w:vAlign w:val="center"/>
          </w:tcPr>
          <w:p>
            <w:pPr>
              <w:pStyle w:val="TableContents"/>
              <w:bidi w:val="0"/>
              <w:spacing w:before="0" w:after="283"/>
              <w:jc w:val="left"/>
              <w:rPr/>
            </w:pPr>
            <w:r>
              <w:rPr/>
              <w:t> </w:t>
            </w:r>
          </w:p>
        </w:tc>
        <w:tc>
          <w:tcPr>
            <w:tcW w:w="5959"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Attention:  Matthew D. Klein, Senior Vice President and General Counsel</w:t>
            </w:r>
          </w:p>
        </w:tc>
      </w:tr>
      <w:tr>
        <w:trPr/>
        <w:tc>
          <w:tcPr>
            <w:tcW w:w="60" w:type="dxa"/>
            <w:tcBorders/>
            <w:vAlign w:val="center"/>
          </w:tcPr>
          <w:p>
            <w:pPr>
              <w:pStyle w:val="TableContents"/>
              <w:bidi w:val="0"/>
              <w:spacing w:before="0" w:after="283"/>
              <w:jc w:val="left"/>
              <w:rPr/>
            </w:pPr>
            <w:r>
              <w:rPr/>
              <w:t> </w:t>
            </w:r>
          </w:p>
        </w:tc>
        <w:tc>
          <w:tcPr>
            <w:tcW w:w="5959"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Email: [*]</w:t>
            </w:r>
          </w:p>
        </w:tc>
      </w:tr>
      <w:tr>
        <w:trPr/>
        <w:tc>
          <w:tcPr>
            <w:tcW w:w="60" w:type="dxa"/>
            <w:tcBorders/>
            <w:vAlign w:val="center"/>
          </w:tcPr>
          <w:p>
            <w:pPr>
              <w:pStyle w:val="TableContents"/>
              <w:bidi w:val="0"/>
              <w:spacing w:before="0" w:after="283"/>
              <w:jc w:val="left"/>
              <w:rPr/>
            </w:pPr>
            <w:r>
              <w:rPr/>
              <w:t> </w:t>
            </w:r>
          </w:p>
        </w:tc>
        <w:tc>
          <w:tcPr>
            <w:tcW w:w="5959"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959"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with a copy (which will not constitute notice) to:</w:t>
            </w:r>
          </w:p>
        </w:tc>
      </w:tr>
      <w:tr>
        <w:trPr/>
        <w:tc>
          <w:tcPr>
            <w:tcW w:w="60" w:type="dxa"/>
            <w:tcBorders/>
            <w:vAlign w:val="center"/>
          </w:tcPr>
          <w:p>
            <w:pPr>
              <w:pStyle w:val="TableContents"/>
              <w:bidi w:val="0"/>
              <w:spacing w:before="0" w:after="283"/>
              <w:jc w:val="left"/>
              <w:rPr/>
            </w:pPr>
            <w:r>
              <w:rPr/>
              <w:t> </w:t>
            </w:r>
          </w:p>
        </w:tc>
        <w:tc>
          <w:tcPr>
            <w:tcW w:w="5959"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959"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McDermott Will &amp; Schulte LLP</w:t>
            </w:r>
          </w:p>
        </w:tc>
      </w:tr>
      <w:tr>
        <w:trPr/>
        <w:tc>
          <w:tcPr>
            <w:tcW w:w="60" w:type="dxa"/>
            <w:tcBorders/>
            <w:vAlign w:val="center"/>
          </w:tcPr>
          <w:p>
            <w:pPr>
              <w:pStyle w:val="TableContents"/>
              <w:bidi w:val="0"/>
              <w:spacing w:before="0" w:after="283"/>
              <w:jc w:val="left"/>
              <w:rPr/>
            </w:pPr>
            <w:r>
              <w:rPr/>
              <w:t> </w:t>
            </w:r>
          </w:p>
        </w:tc>
        <w:tc>
          <w:tcPr>
            <w:tcW w:w="5959"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444 West Lake Street, Suite 4000</w:t>
            </w:r>
          </w:p>
        </w:tc>
      </w:tr>
      <w:tr>
        <w:trPr/>
        <w:tc>
          <w:tcPr>
            <w:tcW w:w="60" w:type="dxa"/>
            <w:tcBorders/>
            <w:vAlign w:val="center"/>
          </w:tcPr>
          <w:p>
            <w:pPr>
              <w:pStyle w:val="TableContents"/>
              <w:bidi w:val="0"/>
              <w:spacing w:before="0" w:after="283"/>
              <w:jc w:val="left"/>
              <w:rPr/>
            </w:pPr>
            <w:r>
              <w:rPr/>
              <w:t> </w:t>
            </w:r>
          </w:p>
        </w:tc>
        <w:tc>
          <w:tcPr>
            <w:tcW w:w="5959"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Chicago, IL 60606</w:t>
            </w:r>
          </w:p>
        </w:tc>
      </w:tr>
      <w:tr>
        <w:trPr/>
        <w:tc>
          <w:tcPr>
            <w:tcW w:w="60" w:type="dxa"/>
            <w:tcBorders/>
            <w:vAlign w:val="center"/>
          </w:tcPr>
          <w:p>
            <w:pPr>
              <w:pStyle w:val="TableContents"/>
              <w:bidi w:val="0"/>
              <w:spacing w:before="0" w:after="283"/>
              <w:jc w:val="left"/>
              <w:rPr/>
            </w:pPr>
            <w:r>
              <w:rPr/>
              <w:t> </w:t>
            </w:r>
          </w:p>
        </w:tc>
        <w:tc>
          <w:tcPr>
            <w:tcW w:w="5959"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Attention: Eric Orsic</w:t>
            </w:r>
          </w:p>
        </w:tc>
      </w:tr>
      <w:tr>
        <w:trPr/>
        <w:tc>
          <w:tcPr>
            <w:tcW w:w="60" w:type="dxa"/>
            <w:tcBorders/>
            <w:vAlign w:val="center"/>
          </w:tcPr>
          <w:p>
            <w:pPr>
              <w:pStyle w:val="TableContents"/>
              <w:bidi w:val="0"/>
              <w:spacing w:before="0" w:after="283"/>
              <w:jc w:val="left"/>
              <w:rPr/>
            </w:pPr>
            <w:r>
              <w:rPr/>
              <w:t> </w:t>
            </w:r>
          </w:p>
        </w:tc>
        <w:tc>
          <w:tcPr>
            <w:tcW w:w="5959"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b w:val="false"/>
                <w:i w:val="false"/>
                <w:caps w:val="false"/>
                <w:smallCaps w:val="false"/>
                <w:color w:val="0000FF"/>
                <w:sz w:val="20"/>
                <w:u w:val="single"/>
                <w:shd w:fill="FFFFFF" w:val="clear"/>
              </w:rPr>
              <w:t>eorsic@mcdermottlaw.com</w:t>
            </w:r>
          </w:p>
        </w:tc>
      </w:tr>
      <w:tr>
        <w:trPr/>
        <w:tc>
          <w:tcPr>
            <w:tcW w:w="60" w:type="dxa"/>
            <w:tcBorders/>
            <w:vAlign w:val="center"/>
          </w:tcPr>
          <w:p>
            <w:pPr>
              <w:pStyle w:val="TableContents"/>
              <w:bidi w:val="0"/>
              <w:spacing w:before="0" w:after="283"/>
              <w:jc w:val="left"/>
              <w:rPr/>
            </w:pPr>
            <w:r>
              <w:rPr/>
              <w:t> </w:t>
            </w:r>
          </w:p>
        </w:tc>
        <w:tc>
          <w:tcPr>
            <w:tcW w:w="5959"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959"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959"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If to any Holder, to:</w:t>
            </w:r>
          </w:p>
        </w:tc>
      </w:tr>
      <w:tr>
        <w:trPr/>
        <w:tc>
          <w:tcPr>
            <w:tcW w:w="60" w:type="dxa"/>
            <w:tcBorders/>
            <w:vAlign w:val="center"/>
          </w:tcPr>
          <w:p>
            <w:pPr>
              <w:pStyle w:val="TableContents"/>
              <w:bidi w:val="0"/>
              <w:spacing w:before="0" w:after="283"/>
              <w:jc w:val="left"/>
              <w:rPr/>
            </w:pPr>
            <w:r>
              <w:rPr/>
              <w:t> </w:t>
            </w:r>
          </w:p>
        </w:tc>
        <w:tc>
          <w:tcPr>
            <w:tcW w:w="5959"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959"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address set forth next to such Holder on Schedule A</w:t>
            </w:r>
          </w:p>
        </w:tc>
      </w:tr>
      <w:tr>
        <w:trPr/>
        <w:tc>
          <w:tcPr>
            <w:tcW w:w="60" w:type="dxa"/>
            <w:tcBorders/>
            <w:vAlign w:val="center"/>
          </w:tcPr>
          <w:p>
            <w:pPr>
              <w:pStyle w:val="TableContents"/>
              <w:bidi w:val="0"/>
              <w:spacing w:before="0" w:after="283"/>
              <w:jc w:val="left"/>
              <w:rPr/>
            </w:pPr>
            <w:r>
              <w:rPr/>
              <w:t> </w:t>
            </w:r>
          </w:p>
        </w:tc>
        <w:tc>
          <w:tcPr>
            <w:tcW w:w="5959"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959"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with a copy (which will not constitute notice) to:</w:t>
            </w:r>
          </w:p>
        </w:tc>
      </w:tr>
      <w:tr>
        <w:trPr/>
        <w:tc>
          <w:tcPr>
            <w:tcW w:w="60" w:type="dxa"/>
            <w:tcBorders/>
            <w:vAlign w:val="center"/>
          </w:tcPr>
          <w:p>
            <w:pPr>
              <w:pStyle w:val="TableContents"/>
              <w:bidi w:val="0"/>
              <w:spacing w:before="0" w:after="283"/>
              <w:jc w:val="left"/>
              <w:rPr/>
            </w:pPr>
            <w:r>
              <w:rPr/>
              <w:t> </w:t>
            </w:r>
          </w:p>
        </w:tc>
        <w:tc>
          <w:tcPr>
            <w:tcW w:w="5959"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959"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959"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Cravath, Swaine &amp; Moore LLP</w:t>
            </w:r>
          </w:p>
        </w:tc>
      </w:tr>
      <w:tr>
        <w:trPr/>
        <w:tc>
          <w:tcPr>
            <w:tcW w:w="60" w:type="dxa"/>
            <w:tcBorders/>
            <w:vAlign w:val="center"/>
          </w:tcPr>
          <w:p>
            <w:pPr>
              <w:pStyle w:val="TableContents"/>
              <w:bidi w:val="0"/>
              <w:spacing w:before="0" w:after="283"/>
              <w:jc w:val="left"/>
              <w:rPr/>
            </w:pPr>
            <w:r>
              <w:rPr/>
              <w:t> </w:t>
            </w:r>
          </w:p>
        </w:tc>
        <w:tc>
          <w:tcPr>
            <w:tcW w:w="5959"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Two Manhattan West</w:t>
            </w:r>
          </w:p>
        </w:tc>
      </w:tr>
      <w:tr>
        <w:trPr/>
        <w:tc>
          <w:tcPr>
            <w:tcW w:w="60" w:type="dxa"/>
            <w:tcBorders/>
            <w:vAlign w:val="center"/>
          </w:tcPr>
          <w:p>
            <w:pPr>
              <w:pStyle w:val="TableContents"/>
              <w:bidi w:val="0"/>
              <w:spacing w:before="0" w:after="283"/>
              <w:jc w:val="left"/>
              <w:rPr/>
            </w:pPr>
            <w:r>
              <w:rPr/>
              <w:t> </w:t>
            </w:r>
          </w:p>
        </w:tc>
        <w:tc>
          <w:tcPr>
            <w:tcW w:w="5959"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375 Ninth Avenue</w:t>
            </w:r>
          </w:p>
        </w:tc>
      </w:tr>
      <w:tr>
        <w:trPr/>
        <w:tc>
          <w:tcPr>
            <w:tcW w:w="60" w:type="dxa"/>
            <w:tcBorders/>
            <w:vAlign w:val="center"/>
          </w:tcPr>
          <w:p>
            <w:pPr>
              <w:pStyle w:val="TableContents"/>
              <w:bidi w:val="0"/>
              <w:spacing w:before="0" w:after="283"/>
              <w:jc w:val="left"/>
              <w:rPr/>
            </w:pPr>
            <w:r>
              <w:rPr/>
              <w:t> </w:t>
            </w:r>
          </w:p>
        </w:tc>
        <w:tc>
          <w:tcPr>
            <w:tcW w:w="5959"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New York, NY 10001</w:t>
            </w:r>
          </w:p>
        </w:tc>
      </w:tr>
      <w:tr>
        <w:trPr/>
        <w:tc>
          <w:tcPr>
            <w:tcW w:w="60" w:type="dxa"/>
            <w:tcBorders/>
            <w:vAlign w:val="center"/>
          </w:tcPr>
          <w:p>
            <w:pPr>
              <w:pStyle w:val="TableContents"/>
              <w:bidi w:val="0"/>
              <w:spacing w:before="0" w:after="283"/>
              <w:jc w:val="left"/>
              <w:rPr/>
            </w:pPr>
            <w:r>
              <w:rPr/>
              <w:t> </w:t>
            </w:r>
          </w:p>
        </w:tc>
        <w:tc>
          <w:tcPr>
            <w:tcW w:w="20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Attention: </w:t>
            </w:r>
          </w:p>
        </w:tc>
        <w:tc>
          <w:tcPr>
            <w:tcW w:w="3901" w:type="dxa"/>
            <w:tcBorders/>
            <w:vAlign w:val="center"/>
          </w:tcPr>
          <w:p>
            <w:pPr>
              <w:pStyle w:val="TableContents"/>
              <w:bidi w:val="0"/>
              <w:spacing w:before="0" w:after="283"/>
              <w:jc w:val="left"/>
              <w:rPr/>
            </w:pPr>
            <w:r>
              <w:rPr/>
              <w:t xml:space="preserve">Minh Van Ngo </w:t>
            </w:r>
          </w:p>
        </w:tc>
      </w:tr>
      <w:tr>
        <w:trPr/>
        <w:tc>
          <w:tcPr>
            <w:tcW w:w="60" w:type="dxa"/>
            <w:tcBorders/>
            <w:vAlign w:val="center"/>
          </w:tcPr>
          <w:p>
            <w:pPr>
              <w:pStyle w:val="TableContents"/>
              <w:bidi w:val="0"/>
              <w:spacing w:before="0" w:after="283"/>
              <w:jc w:val="left"/>
              <w:rPr/>
            </w:pPr>
            <w:r>
              <w:rPr/>
              <w:t> </w:t>
            </w:r>
          </w:p>
        </w:tc>
        <w:tc>
          <w:tcPr>
            <w:tcW w:w="2058" w:type="dxa"/>
            <w:tcBorders/>
            <w:vAlign w:val="center"/>
          </w:tcPr>
          <w:p>
            <w:pPr>
              <w:pStyle w:val="TableContents"/>
              <w:bidi w:val="0"/>
              <w:spacing w:before="0" w:after="283"/>
              <w:jc w:val="left"/>
              <w:rPr/>
            </w:pPr>
            <w:r>
              <w:rPr/>
              <w:t> </w:t>
            </w:r>
          </w:p>
        </w:tc>
        <w:tc>
          <w:tcPr>
            <w:tcW w:w="3901" w:type="dxa"/>
            <w:tcBorders/>
            <w:vAlign w:val="center"/>
          </w:tcPr>
          <w:p>
            <w:pPr>
              <w:pStyle w:val="TableContents"/>
              <w:bidi w:val="0"/>
              <w:spacing w:before="0" w:after="283"/>
              <w:jc w:val="left"/>
              <w:rPr/>
            </w:pPr>
            <w:r>
              <w:rPr/>
              <w:t>Andrew M. Wark</w:t>
            </w:r>
          </w:p>
        </w:tc>
      </w:tr>
      <w:tr>
        <w:trPr/>
        <w:tc>
          <w:tcPr>
            <w:tcW w:w="60" w:type="dxa"/>
            <w:tcBorders/>
            <w:vAlign w:val="center"/>
          </w:tcPr>
          <w:p>
            <w:pPr>
              <w:pStyle w:val="TableContents"/>
              <w:bidi w:val="0"/>
              <w:spacing w:before="0" w:after="283"/>
              <w:jc w:val="left"/>
              <w:rPr/>
            </w:pPr>
            <w:r>
              <w:rPr/>
              <w:t> </w:t>
            </w:r>
          </w:p>
        </w:tc>
        <w:tc>
          <w:tcPr>
            <w:tcW w:w="2058"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Email:</w:t>
            </w:r>
          </w:p>
        </w:tc>
        <w:tc>
          <w:tcPr>
            <w:tcW w:w="3901"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color w:val="0000FF"/>
                <w:sz w:val="20"/>
                <w:u w:val="single"/>
              </w:rPr>
            </w:pPr>
            <w:r>
              <w:rPr>
                <w:rFonts w:ascii="Times New Roman" w:hAnsi="Times New Roman"/>
                <w:b w:val="false"/>
                <w:i w:val="false"/>
                <w:caps w:val="false"/>
                <w:smallCaps w:val="false"/>
                <w:color w:val="0000FF"/>
                <w:sz w:val="20"/>
                <w:u w:val="single"/>
              </w:rPr>
              <w:t>mngo@cravath.com</w:t>
            </w:r>
          </w:p>
        </w:tc>
      </w:tr>
      <w:tr>
        <w:trPr/>
        <w:tc>
          <w:tcPr>
            <w:tcW w:w="60" w:type="dxa"/>
            <w:tcBorders/>
            <w:vAlign w:val="center"/>
          </w:tcPr>
          <w:p>
            <w:pPr>
              <w:pStyle w:val="TableContents"/>
              <w:bidi w:val="0"/>
              <w:spacing w:before="0" w:after="283"/>
              <w:jc w:val="left"/>
              <w:rPr/>
            </w:pPr>
            <w:r>
              <w:rPr/>
              <w:t> </w:t>
            </w:r>
          </w:p>
        </w:tc>
        <w:tc>
          <w:tcPr>
            <w:tcW w:w="2058" w:type="dxa"/>
            <w:tcBorders/>
            <w:vAlign w:val="center"/>
          </w:tcPr>
          <w:p>
            <w:pPr>
              <w:pStyle w:val="TableContents"/>
              <w:bidi w:val="0"/>
              <w:spacing w:before="0" w:after="283"/>
              <w:jc w:val="left"/>
              <w:rPr/>
            </w:pPr>
            <w:r>
              <w:rPr/>
              <w:t> </w:t>
            </w:r>
          </w:p>
        </w:tc>
        <w:tc>
          <w:tcPr>
            <w:tcW w:w="3901"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color w:val="0000FF"/>
                <w:sz w:val="20"/>
                <w:u w:val="single"/>
              </w:rPr>
            </w:pPr>
            <w:r>
              <w:rPr>
                <w:rFonts w:ascii="Times New Roman" w:hAnsi="Times New Roman"/>
                <w:b w:val="false"/>
                <w:i w:val="false"/>
                <w:caps w:val="false"/>
                <w:smallCaps w:val="false"/>
                <w:color w:val="0000FF"/>
                <w:sz w:val="20"/>
                <w:u w:val="single"/>
              </w:rPr>
              <w:t>awark@cravath.com</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or such other address or email address as such party may hereafter specify by like notice to the other parties hereto.  All such notices, requests and other communications shall be in writing and shall be deemed to have been received on the earliest of (i) the date when personally delivered, (ii) the date when transmitted via electronic e-mail address (unless an automated message indicating non-delivery is received with respect thereto) or (iii) the next succeeding Business Day following the day on which the same has been delivered prepaid to a reputable national overnight air courier service.</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5.02</w:t>
      </w:r>
      <w:r>
        <w:rPr>
          <w:rFonts w:ascii="Times New Roman" w:hAnsi="Times New Roman"/>
          <w:color w:val="000000"/>
          <w:sz w:val="20"/>
        </w:rPr>
        <w:t>          </w:t>
      </w:r>
      <w:r>
        <w:rPr>
          <w:rFonts w:ascii="Times New Roman" w:hAnsi="Times New Roman"/>
          <w:color w:val="000000"/>
          <w:sz w:val="20"/>
          <w:u w:val="single"/>
        </w:rPr>
        <w:t>Severability</w:t>
      </w:r>
      <w:r>
        <w:rPr>
          <w:rFonts w:ascii="Times New Roman" w:hAnsi="Times New Roman"/>
          <w:color w:val="000000"/>
          <w:sz w:val="20"/>
        </w:rPr>
        <w:t>.  If any term, condition or other provision of this Agreement is determined by a court of competent jurisdiction to be invalid, illegal or incapable of being enforced by any rule of Law or public policy (as determined by a final judgement), all other terms, provisions and conditions of this Agreement shall nevertheless remain in full force and effect.  Upon such determination that any term, condition or other provision is invalid, illegal or incapable of being enforced, the parties hereto shall negotiate in good faith to modify this Agreement so as to effect the original intent of the parties as closely as possible to the fullest extent permitted by applicable Law.</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5.03</w:t>
      </w:r>
      <w:r>
        <w:rPr>
          <w:rFonts w:ascii="Times New Roman" w:hAnsi="Times New Roman"/>
          <w:color w:val="000000"/>
          <w:sz w:val="20"/>
        </w:rPr>
        <w:t>          </w:t>
      </w:r>
      <w:r>
        <w:rPr>
          <w:rFonts w:ascii="Times New Roman" w:hAnsi="Times New Roman"/>
          <w:color w:val="000000"/>
          <w:sz w:val="20"/>
          <w:u w:val="single"/>
        </w:rPr>
        <w:t>Assignment</w:t>
      </w:r>
      <w:r>
        <w:rPr>
          <w:rFonts w:ascii="Times New Roman" w:hAnsi="Times New Roman"/>
          <w:color w:val="000000"/>
          <w:sz w:val="20"/>
        </w:rPr>
        <w:t xml:space="preserve">.  Neither this Agreement nor any of the rights, interests or obligations hereunder shall be assigned by any of the parties hereto, in whole or in part, by operation of law or otherwise, except (a) by any Holder (i) with the prior written consent of Parent or (ii) to a transferee of such Holder’s Shares in accordance with </w:t>
      </w:r>
      <w:r>
        <w:rPr>
          <w:rFonts w:ascii="Times New Roman" w:hAnsi="Times New Roman"/>
          <w:color w:val="000000"/>
          <w:sz w:val="20"/>
          <w:u w:val="single"/>
        </w:rPr>
        <w:t>Section 4.03</w:t>
      </w:r>
      <w:r>
        <w:rPr>
          <w:rFonts w:ascii="Times New Roman" w:hAnsi="Times New Roman"/>
          <w:color w:val="000000"/>
          <w:sz w:val="20"/>
        </w:rPr>
        <w:t xml:space="preserve">, or (b) by Parent (i) to any of Parent’s Affiliates or (ii) with the prior written consent of a majority (in terms of aggregate voting power) of the Subject Shares of the Holders; </w:t>
      </w:r>
      <w:r>
        <w:rPr>
          <w:rFonts w:ascii="Times New Roman" w:hAnsi="Times New Roman"/>
          <w:color w:val="000000"/>
          <w:sz w:val="20"/>
          <w:u w:val="single"/>
        </w:rPr>
        <w:t>provided</w:t>
      </w:r>
      <w:r>
        <w:rPr>
          <w:rFonts w:ascii="Times New Roman" w:hAnsi="Times New Roman"/>
          <w:color w:val="000000"/>
          <w:sz w:val="20"/>
        </w:rPr>
        <w:t xml:space="preserve">, that, in the case of </w:t>
      </w:r>
      <w:r>
        <w:rPr>
          <w:rFonts w:ascii="Times New Roman" w:hAnsi="Times New Roman"/>
          <w:color w:val="000000"/>
          <w:sz w:val="20"/>
          <w:u w:val="single"/>
        </w:rPr>
        <w:t>clauses (a)</w:t>
      </w:r>
      <w:r>
        <w:rPr>
          <w:rFonts w:ascii="Times New Roman" w:hAnsi="Times New Roman"/>
          <w:color w:val="000000"/>
          <w:sz w:val="20"/>
        </w:rPr>
        <w:t xml:space="preserve"> and </w:t>
      </w:r>
      <w:r>
        <w:rPr>
          <w:rFonts w:ascii="Times New Roman" w:hAnsi="Times New Roman"/>
          <w:color w:val="000000"/>
          <w:sz w:val="20"/>
          <w:u w:val="single"/>
        </w:rPr>
        <w:t>(b)</w:t>
      </w:r>
      <w:r>
        <w:rPr>
          <w:rFonts w:ascii="Times New Roman" w:hAnsi="Times New Roman"/>
          <w:color w:val="000000"/>
          <w:sz w:val="20"/>
        </w:rPr>
        <w:t xml:space="preserve">, any such assignment will not relieve the assigning party of its obligations under this Agreement.  Any assignment in contravention of the preceding sentence shall be null and void </w:t>
      </w:r>
      <w:r>
        <w:rPr>
          <w:rFonts w:ascii="Times New Roman" w:hAnsi="Times New Roman"/>
          <w:i/>
          <w:color w:val="000000"/>
          <w:sz w:val="20"/>
        </w:rPr>
        <w:t>ab initio</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5.04</w:t>
      </w:r>
      <w:r>
        <w:rPr>
          <w:rFonts w:ascii="Times New Roman" w:hAnsi="Times New Roman"/>
          <w:color w:val="000000"/>
          <w:sz w:val="20"/>
        </w:rPr>
        <w:t>          </w:t>
      </w:r>
      <w:r>
        <w:rPr>
          <w:rFonts w:ascii="Times New Roman" w:hAnsi="Times New Roman"/>
          <w:color w:val="000000"/>
          <w:sz w:val="20"/>
          <w:u w:val="single"/>
        </w:rPr>
        <w:t>Entire Agreement; No Third Party Beneficiaries</w:t>
      </w:r>
      <w:r>
        <w:rPr>
          <w:rFonts w:ascii="Times New Roman" w:hAnsi="Times New Roman"/>
          <w:color w:val="000000"/>
          <w:sz w:val="20"/>
        </w:rPr>
        <w:t xml:space="preserve">.  This Agreement (including </w:t>
      </w:r>
      <w:r>
        <w:rPr>
          <w:rFonts w:ascii="Times New Roman" w:hAnsi="Times New Roman"/>
          <w:color w:val="000000"/>
          <w:sz w:val="20"/>
          <w:u w:val="single"/>
        </w:rPr>
        <w:t>Schedule A</w:t>
      </w:r>
      <w:r>
        <w:rPr>
          <w:rFonts w:ascii="Times New Roman" w:hAnsi="Times New Roman"/>
          <w:color w:val="000000"/>
          <w:sz w:val="20"/>
        </w:rPr>
        <w:t xml:space="preserve"> and the other documents delivered pursuant hereto) constitutes the entire agreement and supersedes all prior representations, conditions, agreements and understandings, both written and oral, among the parties hereto and their Affiliates, or any of them, with respect to the subject matter hereof.  This Agreement is not intended to confer upon any Person, other than the parties hereto, any rights or remedies hereunder, including the right to rely upon the representations and warranties set forth herein; </w:t>
      </w:r>
      <w:r>
        <w:rPr>
          <w:rFonts w:ascii="Times New Roman" w:hAnsi="Times New Roman"/>
          <w:color w:val="000000"/>
          <w:sz w:val="20"/>
          <w:u w:val="single"/>
        </w:rPr>
        <w:t>provided</w:t>
      </w:r>
      <w:r>
        <w:rPr>
          <w:rFonts w:ascii="Times New Roman" w:hAnsi="Times New Roman"/>
          <w:color w:val="000000"/>
          <w:sz w:val="20"/>
        </w:rPr>
        <w:t xml:space="preserve">, that, the Company shall be a third-party beneficiary of, and entitled to enforce the provisions of, </w:t>
      </w:r>
      <w:r>
        <w:rPr>
          <w:rFonts w:ascii="Times New Roman" w:hAnsi="Times New Roman"/>
          <w:color w:val="000000"/>
          <w:sz w:val="20"/>
          <w:u w:val="single"/>
        </w:rPr>
        <w:t>Section 4.09</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5.05</w:t>
      </w:r>
      <w:r>
        <w:rPr>
          <w:rFonts w:ascii="Times New Roman" w:hAnsi="Times New Roman"/>
          <w:color w:val="000000"/>
          <w:sz w:val="20"/>
        </w:rPr>
        <w:t>          </w:t>
      </w:r>
      <w:r>
        <w:rPr>
          <w:rFonts w:ascii="Times New Roman" w:hAnsi="Times New Roman"/>
          <w:color w:val="000000"/>
          <w:sz w:val="20"/>
          <w:u w:val="single"/>
        </w:rPr>
        <w:t>Governing Law</w:t>
      </w:r>
      <w:r>
        <w:rPr>
          <w:rFonts w:ascii="Times New Roman" w:hAnsi="Times New Roman"/>
          <w:color w:val="000000"/>
          <w:sz w:val="20"/>
        </w:rPr>
        <w:t>.  This Agreement, and all claims or causes of action (whether in contract or tort) that may be based upon, arise out of or relate to this Agreement, shall be governed by, and construed in accordance with, the Laws of the State of Delaware applicable to contracts executed in and to be performed entirely within that State, regardless of the Laws that might otherwise govern under any applicable conflict of Laws principles.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5.06</w:t>
      </w:r>
      <w:r>
        <w:rPr>
          <w:rFonts w:ascii="Times New Roman" w:hAnsi="Times New Roman"/>
          <w:color w:val="000000"/>
          <w:sz w:val="20"/>
        </w:rPr>
        <w:t>          </w:t>
      </w:r>
      <w:r>
        <w:rPr>
          <w:rFonts w:ascii="Times New Roman" w:hAnsi="Times New Roman"/>
          <w:color w:val="000000"/>
          <w:sz w:val="20"/>
          <w:u w:val="single"/>
        </w:rPr>
        <w:t>Counterparts</w:t>
      </w:r>
      <w:r>
        <w:rPr>
          <w:rFonts w:ascii="Times New Roman" w:hAnsi="Times New Roman"/>
          <w:color w:val="000000"/>
          <w:sz w:val="20"/>
        </w:rPr>
        <w:t>.  This Agreement may be executed in one or more counterparts (including by electronic signature, PDF or electronic mail with .pdf attachments), each of which shall be deemed to be an original but all of which taken together shall constitute one and the same agreement, and shall become effective when one or more counterparts have been signed by each of the parties hereto and delivered to the other parties hereto.</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5.07</w:t>
      </w:r>
      <w:r>
        <w:rPr>
          <w:rFonts w:ascii="Times New Roman" w:hAnsi="Times New Roman"/>
          <w:color w:val="000000"/>
          <w:sz w:val="20"/>
        </w:rPr>
        <w:t>          </w:t>
      </w:r>
      <w:r>
        <w:rPr>
          <w:rFonts w:ascii="Times New Roman" w:hAnsi="Times New Roman"/>
          <w:color w:val="000000"/>
          <w:sz w:val="20"/>
          <w:u w:val="single"/>
        </w:rPr>
        <w:t>Jurisdiction; Service of Process</w:t>
      </w:r>
      <w:r>
        <w:rPr>
          <w:rFonts w:ascii="Times New Roman" w:hAnsi="Times New Roman"/>
          <w:color w:val="000000"/>
          <w:sz w:val="20"/>
        </w:rPr>
        <w:t xml:space="preserve">.  The parties hereto agree that any action or proceeding seeking to enforce any provision of, or based on any matter arising out of or in connection with, this Agreement or the transactions contemplated by this Agreement shall be brought exclusively in the Court of Chancery of the State of Delaware (or, if the Court of Chancery of the State of Delaware declines to accept jurisdiction over any action or proceeding, any state or federal court within the State of Delaware).  Each party hereto hereby irrevocably submits to the exclusive jurisdiction of each such court in respect of any legal or equitable action, suit or proceeding arising out of or relating to this Agreement or the transactions contemplated by this Agreement, or relating to enforcement of any of the terms of this Agreement, and hereby irrevocably waives, and agrees not to assert, as a defense in any such action, suit or proceeding, any claim that it is not subject personally to the jurisdiction of such court, that the action, suit or proceeding is brought in an inconvenient forum, that the venue of the action, suit or proceeding is improper or that this Agreement or the transactions contemplated by this Agreement may not be enforced in or by such courts.  Each party hereto agrees that notice or the service of process upon such party in any action, suit or proceeding arising out of or relating to this Agreement or the transactions contemplated by this Agreement shall be properly served or delivered if delivered in the manner contemplated by </w:t>
      </w:r>
      <w:r>
        <w:rPr>
          <w:rFonts w:ascii="Times New Roman" w:hAnsi="Times New Roman"/>
          <w:color w:val="000000"/>
          <w:sz w:val="20"/>
          <w:u w:val="single"/>
        </w:rPr>
        <w:t>Section 5.01</w:t>
      </w:r>
      <w:r>
        <w:rPr>
          <w:rFonts w:ascii="Times New Roman" w:hAnsi="Times New Roman"/>
          <w:color w:val="000000"/>
          <w:sz w:val="20"/>
        </w:rPr>
        <w:t xml:space="preserve"> or in any other manner permitted by law.</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5.08</w:t>
      </w:r>
      <w:r>
        <w:rPr>
          <w:rFonts w:ascii="Times New Roman" w:hAnsi="Times New Roman"/>
          <w:color w:val="000000"/>
          <w:sz w:val="20"/>
        </w:rPr>
        <w:t>          </w:t>
      </w:r>
      <w:r>
        <w:rPr>
          <w:rFonts w:ascii="Times New Roman" w:hAnsi="Times New Roman"/>
          <w:color w:val="000000"/>
          <w:sz w:val="20"/>
          <w:u w:val="single"/>
        </w:rPr>
        <w:t>Waiver of Jury Trial</w:t>
      </w:r>
      <w:r>
        <w:rPr>
          <w:rFonts w:ascii="Times New Roman" w:hAnsi="Times New Roman"/>
          <w:color w:val="000000"/>
          <w:sz w:val="20"/>
        </w:rPr>
        <w:t xml:space="preserve">.  EACH PARTY HERETO ACKNOWLEDGES AND AGREES THAT ANY CONTROVERSY WHICH MAY ARISE UNDER THIS AGREEMENT IS LIKELY TO INVOLVE COMPLICATED AND DIFFICULT ISSUES, AND THEREFORE SUCH PARTY HEREBY IRREVOCABLY AND UNCONDITIONALLY WAIVES, TO THE FULLEST EXTENT PERMITTED BY APPLICABLE LAW, ANY RIGHT SUCH PARTY MAY HAVE TO A TRIAL BY JURY IN RESPECT OF ANY LITIGATION DIRECTLY OR INDIRECTLY ARISING OUT OF OR RELATING TO THIS AGREEMENT AND ANY OF THE AGREEMENTS DELIVERED IN CONNECTION HEREWITH OR THE TRANSACTIONS CONTEMPLATED HEREBY.  EACH PARTY CERTIFIES AND ACKNOWLEDGES THAT (A) NO REPRESENTATIVE, AGENT OR ATTORNEY OF ANY OTHER PARTY HAS REPRESENTED, EXPRESSLY OR OTHERWISE, THAT SUCH OTHER PARTY WOULD NOT, IN THE EVENT OF LITIGATION, SEEK TO ENFORCE THE FOREGOING WAIVER, (B) SUCH PARTY UNDERSTANDS AND HAS CONSIDERED THE IMPLICATIONS OF SUCH WAIVER, (C) SUCH PARTY MAKES SUCH WAIVER VOLUNTARILY AND (D) SUCH PARTY HAS BEEN INDUCED TO ENTER INTO THIS AGREEMENT BY, AMONG OTHER THINGS, THE MUTUAL WAIVER AND CERTIFICATIONS IN THIS </w:t>
      </w:r>
      <w:r>
        <w:rPr>
          <w:rFonts w:ascii="Times New Roman" w:hAnsi="Times New Roman"/>
          <w:color w:val="000000"/>
          <w:sz w:val="20"/>
          <w:u w:val="single"/>
        </w:rPr>
        <w:t>SECTION 5.08</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10000"/>
          <w:sz w:val="20"/>
        </w:rPr>
        <w:t>Section 5.09</w:t>
      </w:r>
      <w:r>
        <w:rPr>
          <w:rFonts w:ascii="Times New Roman" w:hAnsi="Times New Roman"/>
          <w:color w:val="000000"/>
          <w:sz w:val="20"/>
        </w:rPr>
        <w:t>          </w:t>
      </w:r>
      <w:r>
        <w:rPr>
          <w:rFonts w:ascii="Times New Roman" w:hAnsi="Times New Roman"/>
          <w:color w:val="000000"/>
          <w:sz w:val="20"/>
          <w:u w:val="single"/>
        </w:rPr>
        <w:t>Specific Performance</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(a)</w:t>
      </w:r>
      <w:r>
        <w:rPr>
          <w:rFonts w:ascii="Times New Roman" w:hAnsi="Times New Roman"/>
          <w:color w:val="000000"/>
          <w:sz w:val="20"/>
        </w:rPr>
        <w:t>          The parties hereto acknowledge and agree that, in the event of any breach of this Agreement, irreparable harm would occur that monetary damages could not make whole.  It is accordingly agreed that (i) each party hereto shall be entitled, in addition to any other remedy to which it may be entitled at law or in equity, to compel specific performance to prevent or restrain breaches or threatened breaches of this Agreement and to enforce specifically the terms and provisions hereof in any action without the posting of a bond or undertaking, and (ii) the parties hereto shall, and hereby do, waive, in any action for specific performance, the defense of adequacy of a remedy at law and any other objections to specific performance of this Agreement, including any requirement for the securing or posting of any bond in connection with such remedy.</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(b)</w:t>
      </w:r>
      <w:r>
        <w:rPr>
          <w:rFonts w:ascii="Times New Roman" w:hAnsi="Times New Roman"/>
          <w:color w:val="000000"/>
          <w:sz w:val="20"/>
        </w:rPr>
        <w:t xml:space="preserve">          Notwithstanding the parties’ rights to specific performance pursuant to </w:t>
      </w:r>
      <w:r>
        <w:rPr>
          <w:rFonts w:ascii="Times New Roman" w:hAnsi="Times New Roman"/>
          <w:color w:val="000000"/>
          <w:sz w:val="20"/>
          <w:u w:val="single"/>
        </w:rPr>
        <w:t>Section 5.09(a)</w:t>
      </w:r>
      <w:r>
        <w:rPr>
          <w:rFonts w:ascii="Times New Roman" w:hAnsi="Times New Roman"/>
          <w:color w:val="000000"/>
          <w:sz w:val="20"/>
        </w:rPr>
        <w:t>, each party may pursue any other remedy available to it at law or in equity, including monetary damages.  Any and all remedies herein expressly conferred upon a party hereto will be deemed cumulative with and not exclusive of any other remedy conferred hereby, or by law or equity upon such party, and the exercise by a party hereto of any one remedy will not preclude the exercise of any other remedy.</w:t>
      </w:r>
    </w:p>
    <w:p>
      <w:pPr>
        <w:pStyle w:val="TextBody"/>
        <w:bidi w:val="0"/>
        <w:spacing w:before="0" w:after="0"/>
        <w:jc w:val="both"/>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10000"/>
          <w:sz w:val="20"/>
        </w:rPr>
        <w:t>Section 5.10</w:t>
      </w:r>
      <w:r>
        <w:rPr>
          <w:rFonts w:ascii="Times New Roman" w:hAnsi="Times New Roman"/>
          <w:color w:val="000000"/>
          <w:sz w:val="20"/>
        </w:rPr>
        <w:t>          </w:t>
      </w:r>
      <w:r>
        <w:rPr>
          <w:rFonts w:ascii="Times New Roman" w:hAnsi="Times New Roman"/>
          <w:color w:val="000000"/>
          <w:sz w:val="20"/>
          <w:u w:val="single"/>
        </w:rPr>
        <w:t>Amendment; Waiver</w:t>
      </w:r>
      <w:r>
        <w:rPr>
          <w:rFonts w:ascii="Times New Roman" w:hAnsi="Times New Roman"/>
          <w:color w:val="000000"/>
          <w:sz w:val="20"/>
        </w:rPr>
        <w:t>.  This Agreement may not be amended except by an instrument in writing signed by the parties hereto prior to the Effective Time.  The failure of any party to assert any rights or remedies under this Agreement will not constitute a waiver of such rights or remedies.  Any extension or waiver with respect to this Agreement will be valid only if set forth in an instrument in writing signed by the party or parties to be bound thereby.</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5.11</w:t>
      </w:r>
      <w:r>
        <w:rPr>
          <w:rFonts w:ascii="Times New Roman" w:hAnsi="Times New Roman"/>
          <w:color w:val="000000"/>
          <w:sz w:val="20"/>
        </w:rPr>
        <w:t>          </w:t>
      </w:r>
      <w:r>
        <w:rPr>
          <w:rFonts w:ascii="Times New Roman" w:hAnsi="Times New Roman"/>
          <w:color w:val="000000"/>
          <w:sz w:val="20"/>
          <w:u w:val="single"/>
        </w:rPr>
        <w:t>Expenses</w:t>
      </w:r>
      <w:r>
        <w:rPr>
          <w:rFonts w:ascii="Times New Roman" w:hAnsi="Times New Roman"/>
          <w:color w:val="000000"/>
          <w:sz w:val="20"/>
        </w:rPr>
        <w:t>.  Except as set forth herein or the Merger Agreement, each of the parties shall be responsible for its own fees and expenses (including the fees and expenses of investment bankers and accountants) in connection with the entering into and performance under this Agreement and the consummation of the transactions contemplated hereby.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5.12</w:t>
      </w:r>
      <w:r>
        <w:rPr>
          <w:rFonts w:ascii="Times New Roman" w:hAnsi="Times New Roman"/>
          <w:color w:val="000000"/>
          <w:sz w:val="20"/>
        </w:rPr>
        <w:t>          </w:t>
      </w:r>
      <w:r>
        <w:rPr>
          <w:rFonts w:ascii="Times New Roman" w:hAnsi="Times New Roman"/>
          <w:color w:val="000000"/>
          <w:sz w:val="20"/>
          <w:u w:val="single"/>
        </w:rPr>
        <w:t>Further Assurances</w:t>
      </w:r>
      <w:r>
        <w:rPr>
          <w:rFonts w:ascii="Times New Roman" w:hAnsi="Times New Roman"/>
          <w:color w:val="000000"/>
          <w:sz w:val="20"/>
        </w:rPr>
        <w:t>.  Each Holder hereby covenants and agrees to execute and deliver any additional documents reasonably necessary or desirable to carry out the purpose and intent of this Agreement and the Merger Agreement.</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10000"/>
          <w:sz w:val="20"/>
        </w:rPr>
        <w:t>Section 5.13</w:t>
      </w:r>
      <w:r>
        <w:rPr>
          <w:rFonts w:ascii="Times New Roman" w:hAnsi="Times New Roman"/>
          <w:color w:val="000000"/>
          <w:sz w:val="20"/>
        </w:rPr>
        <w:t>          </w:t>
      </w:r>
      <w:r>
        <w:rPr>
          <w:rFonts w:ascii="Times New Roman" w:hAnsi="Times New Roman"/>
          <w:color w:val="000000"/>
          <w:sz w:val="20"/>
          <w:u w:val="single"/>
        </w:rPr>
        <w:t>Termination</w:t>
      </w:r>
      <w:r>
        <w:rPr>
          <w:rFonts w:ascii="Times New Roman" w:hAnsi="Times New Roman"/>
          <w:color w:val="000000"/>
          <w:sz w:val="20"/>
        </w:rPr>
        <w:t xml:space="preserve">.  This Agreement and all obligations of the parties hereto hereunder shall automatically terminate, without further action by any party hereto, upon the earliest of (a) the Effective Time, (b) the valid termination of the Merger Agreement in accordance with its terms, (c) with respect to any Holder, the mutual written agreement of such Holder and Parent and (d) the entry, without the prior written consent of the Holders, into any material modification or amendment to the Merger Agreement that reduces the amount, changes the form or otherwise adversely affects the consideration payable to the Holders pursuant to the Merger Agreement as in effect on the date hereof (the date on which termination would occur pursuant to any of the foregoing </w:t>
      </w:r>
      <w:r>
        <w:rPr>
          <w:rFonts w:ascii="Times New Roman" w:hAnsi="Times New Roman"/>
          <w:color w:val="000000"/>
          <w:sz w:val="20"/>
          <w:u w:val="single"/>
        </w:rPr>
        <w:t>clauses (a)</w:t>
      </w:r>
      <w:r>
        <w:rPr>
          <w:rFonts w:ascii="Times New Roman" w:hAnsi="Times New Roman"/>
          <w:color w:val="000000"/>
          <w:sz w:val="20"/>
        </w:rPr>
        <w:t xml:space="preserve"> through </w:t>
      </w:r>
      <w:r>
        <w:rPr>
          <w:rFonts w:ascii="Times New Roman" w:hAnsi="Times New Roman"/>
          <w:color w:val="000000"/>
          <w:sz w:val="20"/>
          <w:u w:val="single"/>
        </w:rPr>
        <w:t>(d)</w:t>
      </w:r>
      <w:r>
        <w:rPr>
          <w:rFonts w:ascii="Times New Roman" w:hAnsi="Times New Roman"/>
          <w:color w:val="000000"/>
          <w:sz w:val="20"/>
        </w:rPr>
        <w:t>, the “</w:t>
      </w:r>
      <w:r>
        <w:rPr>
          <w:rFonts w:ascii="Times New Roman" w:hAnsi="Times New Roman"/>
          <w:color w:val="000000"/>
          <w:sz w:val="20"/>
          <w:u w:val="single"/>
        </w:rPr>
        <w:t>Termination Date</w:t>
      </w:r>
      <w:r>
        <w:rPr>
          <w:rFonts w:ascii="Times New Roman" w:hAnsi="Times New Roman"/>
          <w:color w:val="000000"/>
          <w:sz w:val="20"/>
        </w:rPr>
        <w:t xml:space="preserve">”).  In the event of any such termination of this Agreement, this Agreement shall forthwith become null and void and have no effect, without any liability or obligation on the part of Parent or the applicable Holders, other than liability for any knowing intentional and material breach of this Agreement prior to such Termination Date; </w:t>
      </w:r>
      <w:r>
        <w:rPr>
          <w:rFonts w:ascii="Times New Roman" w:hAnsi="Times New Roman"/>
          <w:color w:val="000000"/>
          <w:sz w:val="20"/>
          <w:u w:val="single"/>
        </w:rPr>
        <w:t>provided</w:t>
      </w:r>
      <w:r>
        <w:rPr>
          <w:rFonts w:ascii="Times New Roman" w:hAnsi="Times New Roman"/>
          <w:color w:val="000000"/>
          <w:sz w:val="20"/>
        </w:rPr>
        <w:t xml:space="preserve">, that the provisions set forth in </w:t>
      </w:r>
      <w:r>
        <w:rPr>
          <w:rFonts w:ascii="Times New Roman" w:hAnsi="Times New Roman"/>
          <w:color w:val="000000"/>
          <w:sz w:val="20"/>
          <w:u w:val="single"/>
        </w:rPr>
        <w:t>Article V</w:t>
      </w:r>
      <w:r>
        <w:rPr>
          <w:rFonts w:ascii="Times New Roman" w:hAnsi="Times New Roman"/>
          <w:color w:val="000000"/>
          <w:sz w:val="20"/>
        </w:rPr>
        <w:t xml:space="preserve"> shall survive the termination of this Agreement.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r>
        <w:rPr>
          <w:rFonts w:ascii="Times New Roman" w:hAnsi="Times New Roman"/>
          <w:i/>
          <w:color w:val="000000"/>
          <w:sz w:val="20"/>
        </w:rPr>
        <w:t>Signature Pages Follow</w:t>
      </w:r>
      <w:r>
        <w:rPr>
          <w:rFonts w:ascii="Times New Roman" w:hAnsi="Times New Roman"/>
          <w:color w:val="000000"/>
          <w:sz w:val="20"/>
        </w:rPr>
        <w: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IN WITNESS WHEREOF, the parties have duly executed this Agreement, all as of the date first written above.</w:t>
      </w:r>
    </w:p>
    <w:p>
      <w:pPr>
        <w:pStyle w:val="TextBody"/>
        <w:bidi w:val="0"/>
        <w:spacing w:before="0" w:after="0"/>
        <w:ind w:left="4320" w:right="0" w:hanging="0"/>
        <w:jc w:val="left"/>
        <w:rPr>
          <w:b/>
        </w:rPr>
      </w:pPr>
      <w:r>
        <w:rPr>
          <w:b/>
        </w:rPr>
      </w:r>
    </w:p>
    <w:tbl>
      <w:tblPr>
        <w:tblW w:w="4608" w:type="dxa"/>
        <w:jc w:val="left"/>
        <w:tblInd w:w="0" w:type="dxa"/>
        <w:tblLayout w:type="fixed"/>
        <w:tblCellMar>
          <w:top w:w="0" w:type="dxa"/>
          <w:left w:w="0" w:type="dxa"/>
          <w:bottom w:w="0" w:type="dxa"/>
          <w:right w:w="0" w:type="dxa"/>
        </w:tblCellMar>
      </w:tblPr>
      <w:tblGrid>
        <w:gridCol w:w="60"/>
        <w:gridCol w:w="580"/>
        <w:gridCol w:w="888"/>
        <w:gridCol w:w="3020"/>
        <w:gridCol w:w="60"/>
      </w:tblGrid>
      <w:tr>
        <w:trPr/>
        <w:tc>
          <w:tcPr>
            <w:tcW w:w="60" w:type="dxa"/>
            <w:tcBorders/>
          </w:tcPr>
          <w:p>
            <w:pPr>
              <w:pStyle w:val="TableContents"/>
              <w:bidi w:val="0"/>
              <w:spacing w:before="0" w:after="283"/>
              <w:jc w:val="left"/>
              <w:rPr/>
            </w:pPr>
            <w:r>
              <w:rPr/>
              <w:t> </w:t>
            </w:r>
          </w:p>
        </w:tc>
        <w:tc>
          <w:tcPr>
            <w:tcW w:w="4488" w:type="dxa"/>
            <w:gridSpan w:val="3"/>
            <w:tcBorders/>
          </w:tcPr>
          <w:p>
            <w:pPr>
              <w:pStyle w:val="TableContents"/>
              <w:bidi w:val="0"/>
              <w:spacing w:before="0" w:after="283"/>
              <w:jc w:val="left"/>
              <w:rPr>
                <w:b/>
              </w:rPr>
            </w:pPr>
            <w:r>
              <w:rPr>
                <w:b/>
              </w:rPr>
              <w:t>UNIVERSAL HEALTH SERVICES, INC.</w:t>
            </w:r>
          </w:p>
        </w:tc>
        <w:tc>
          <w:tcPr>
            <w:tcW w:w="60" w:type="dxa"/>
            <w:tcBorders/>
          </w:tcPr>
          <w:p>
            <w:pPr>
              <w:pStyle w:val="TableContents"/>
              <w:bidi w:val="0"/>
              <w:spacing w:before="0" w:after="283"/>
              <w:jc w:val="left"/>
              <w:rPr/>
            </w:pPr>
            <w:r>
              <w:rPr/>
              <w:t> </w:t>
            </w:r>
          </w:p>
        </w:tc>
      </w:tr>
      <w:tr>
        <w:trPr/>
        <w:tc>
          <w:tcPr>
            <w:tcW w:w="60" w:type="dxa"/>
            <w:tcBorders/>
          </w:tcPr>
          <w:p>
            <w:pPr>
              <w:pStyle w:val="TableContents"/>
              <w:bidi w:val="0"/>
              <w:spacing w:before="0" w:after="283"/>
              <w:jc w:val="left"/>
              <w:rPr/>
            </w:pPr>
            <w:r>
              <w:rPr/>
              <w:t> </w:t>
            </w:r>
          </w:p>
        </w:tc>
        <w:tc>
          <w:tcPr>
            <w:tcW w:w="580" w:type="dxa"/>
            <w:tcBorders/>
          </w:tcPr>
          <w:p>
            <w:pPr>
              <w:pStyle w:val="TableContents"/>
              <w:bidi w:val="0"/>
              <w:spacing w:before="0" w:after="283"/>
              <w:jc w:val="left"/>
              <w:rPr/>
            </w:pPr>
            <w:r>
              <w:rPr/>
              <w:t> </w:t>
            </w:r>
          </w:p>
        </w:tc>
        <w:tc>
          <w:tcPr>
            <w:tcW w:w="3908" w:type="dxa"/>
            <w:gridSpan w:val="2"/>
            <w:tcBorders/>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r>
      <w:tr>
        <w:trPr/>
        <w:tc>
          <w:tcPr>
            <w:tcW w:w="60" w:type="dxa"/>
            <w:tcBorders/>
          </w:tcPr>
          <w:p>
            <w:pPr>
              <w:pStyle w:val="TableContents"/>
              <w:bidi w:val="0"/>
              <w:spacing w:before="0" w:after="283"/>
              <w:jc w:val="left"/>
              <w:rPr/>
            </w:pPr>
            <w:r>
              <w:rPr/>
            </w:r>
          </w:p>
        </w:tc>
        <w:tc>
          <w:tcPr>
            <w:tcW w:w="580" w:type="dxa"/>
            <w:tcBorders/>
          </w:tcPr>
          <w:p>
            <w:pPr>
              <w:pStyle w:val="TableContents"/>
              <w:bidi w:val="0"/>
              <w:spacing w:before="0" w:after="0"/>
              <w:ind w:left="0" w:right="0" w:hanging="0"/>
              <w:jc w:val="left"/>
              <w:rPr/>
            </w:pPr>
            <w:r>
              <w:rPr/>
              <w:t xml:space="preserve">By: </w:t>
            </w:r>
          </w:p>
        </w:tc>
        <w:tc>
          <w:tcPr>
            <w:tcW w:w="3908" w:type="dxa"/>
            <w:gridSpan w:val="2"/>
            <w:tcBorders>
              <w:bottom w:val="single" w:sz="12" w:space="0" w:color="000000"/>
            </w:tcBorders>
            <w:tcMar>
              <w:bottom w:w="28" w:type="dxa"/>
            </w:tcMar>
          </w:tcPr>
          <w:p>
            <w:pPr>
              <w:pStyle w:val="TableContents"/>
              <w:bidi w:val="0"/>
              <w:spacing w:before="0" w:after="283"/>
              <w:jc w:val="left"/>
              <w:rPr/>
            </w:pPr>
            <w:r>
              <w:rPr/>
              <w:t xml:space="preserve">/s/ Steve Filton </w:t>
            </w:r>
          </w:p>
        </w:tc>
        <w:tc>
          <w:tcPr>
            <w:tcW w:w="60" w:type="dxa"/>
            <w:tcBorders/>
          </w:tcPr>
          <w:p>
            <w:pPr>
              <w:pStyle w:val="TableContents"/>
              <w:bidi w:val="0"/>
              <w:spacing w:before="0" w:after="283"/>
              <w:jc w:val="left"/>
              <w:rPr/>
            </w:pPr>
            <w:r>
              <w:rPr/>
              <w:t> </w:t>
            </w:r>
          </w:p>
        </w:tc>
      </w:tr>
      <w:tr>
        <w:trPr/>
        <w:tc>
          <w:tcPr>
            <w:tcW w:w="60" w:type="dxa"/>
            <w:tcBorders/>
          </w:tcPr>
          <w:p>
            <w:pPr>
              <w:pStyle w:val="TableContents"/>
              <w:bidi w:val="0"/>
              <w:spacing w:before="0" w:after="283"/>
              <w:jc w:val="left"/>
              <w:rPr/>
            </w:pPr>
            <w:r>
              <w:rPr/>
              <w:t> </w:t>
            </w:r>
          </w:p>
        </w:tc>
        <w:tc>
          <w:tcPr>
            <w:tcW w:w="580" w:type="dxa"/>
            <w:tcBorders/>
          </w:tcPr>
          <w:p>
            <w:pPr>
              <w:pStyle w:val="TableContents"/>
              <w:bidi w:val="0"/>
              <w:spacing w:before="0" w:after="283"/>
              <w:jc w:val="left"/>
              <w:rPr/>
            </w:pPr>
            <w:r>
              <w:rPr/>
              <w:t> </w:t>
            </w:r>
          </w:p>
        </w:tc>
        <w:tc>
          <w:tcPr>
            <w:tcW w:w="888" w:type="dxa"/>
            <w:tcBorders/>
            <w:vAlign w:val="bottom"/>
          </w:tcPr>
          <w:p>
            <w:pPr>
              <w:pStyle w:val="TableContents"/>
              <w:bidi w:val="0"/>
              <w:spacing w:before="0" w:after="283"/>
              <w:jc w:val="left"/>
              <w:rPr/>
            </w:pPr>
            <w:r>
              <w:rPr/>
              <w:t>Name:</w:t>
            </w:r>
          </w:p>
        </w:tc>
        <w:tc>
          <w:tcPr>
            <w:tcW w:w="3020" w:type="dxa"/>
            <w:tcBorders/>
            <w:vAlign w:val="bottom"/>
          </w:tcPr>
          <w:p>
            <w:pPr>
              <w:pStyle w:val="TableContents"/>
              <w:bidi w:val="0"/>
              <w:spacing w:before="0" w:after="283"/>
              <w:jc w:val="left"/>
              <w:rPr/>
            </w:pPr>
            <w:r>
              <w:rPr/>
              <w:t>Steve Filton</w:t>
            </w:r>
          </w:p>
        </w:tc>
        <w:tc>
          <w:tcPr>
            <w:tcW w:w="60" w:type="dxa"/>
            <w:tcBorders/>
          </w:tcPr>
          <w:p>
            <w:pPr>
              <w:pStyle w:val="TableContents"/>
              <w:bidi w:val="0"/>
              <w:spacing w:before="0" w:after="283"/>
              <w:jc w:val="left"/>
              <w:rPr/>
            </w:pPr>
            <w:r>
              <w:rPr/>
              <w:t> </w:t>
            </w:r>
          </w:p>
        </w:tc>
      </w:tr>
      <w:tr>
        <w:trPr/>
        <w:tc>
          <w:tcPr>
            <w:tcW w:w="60" w:type="dxa"/>
            <w:tcBorders/>
          </w:tcPr>
          <w:p>
            <w:pPr>
              <w:pStyle w:val="TableContents"/>
              <w:bidi w:val="0"/>
              <w:spacing w:before="0" w:after="283"/>
              <w:jc w:val="left"/>
              <w:rPr/>
            </w:pPr>
            <w:r>
              <w:rPr/>
              <w:t> </w:t>
            </w:r>
          </w:p>
        </w:tc>
        <w:tc>
          <w:tcPr>
            <w:tcW w:w="580" w:type="dxa"/>
            <w:tcBorders/>
          </w:tcPr>
          <w:p>
            <w:pPr>
              <w:pStyle w:val="TableContents"/>
              <w:bidi w:val="0"/>
              <w:spacing w:before="0" w:after="283"/>
              <w:jc w:val="left"/>
              <w:rPr/>
            </w:pPr>
            <w:r>
              <w:rPr/>
              <w:t> </w:t>
            </w:r>
          </w:p>
        </w:tc>
        <w:tc>
          <w:tcPr>
            <w:tcW w:w="888" w:type="dxa"/>
            <w:tcBorders/>
          </w:tcPr>
          <w:p>
            <w:pPr>
              <w:pStyle w:val="TableContents"/>
              <w:bidi w:val="0"/>
              <w:spacing w:before="0" w:after="283"/>
              <w:jc w:val="left"/>
              <w:rPr/>
            </w:pPr>
            <w:r>
              <w:rPr/>
              <w:t>Title:</w:t>
            </w:r>
          </w:p>
        </w:tc>
        <w:tc>
          <w:tcPr>
            <w:tcW w:w="3020" w:type="dxa"/>
            <w:tcBorders/>
          </w:tcPr>
          <w:p>
            <w:pPr>
              <w:pStyle w:val="TableContents"/>
              <w:bidi w:val="0"/>
              <w:spacing w:before="0" w:after="283"/>
              <w:jc w:val="left"/>
              <w:rPr/>
            </w:pPr>
            <w:r>
              <w:rPr/>
              <w:t>Chief Financial Officer</w:t>
            </w:r>
          </w:p>
        </w:tc>
        <w:tc>
          <w:tcPr>
            <w:tcW w:w="60" w:type="dxa"/>
            <w:tcBorders/>
          </w:tcPr>
          <w:p>
            <w:pPr>
              <w:pStyle w:val="TableContents"/>
              <w:bidi w:val="0"/>
              <w:spacing w:before="0" w:after="283"/>
              <w:jc w:val="left"/>
              <w:rPr/>
            </w:pPr>
            <w:r>
              <w:rPr/>
              <w:t> </w:t>
            </w:r>
          </w:p>
        </w:tc>
      </w:tr>
      <w:tr>
        <w:trPr/>
        <w:tc>
          <w:tcPr>
            <w:tcW w:w="60" w:type="dxa"/>
            <w:tcBorders/>
          </w:tcPr>
          <w:p>
            <w:pPr>
              <w:pStyle w:val="TableContents"/>
              <w:bidi w:val="0"/>
              <w:spacing w:before="0" w:after="283"/>
              <w:jc w:val="left"/>
              <w:rPr/>
            </w:pPr>
            <w:r>
              <w:rPr/>
              <w:t> </w:t>
            </w:r>
          </w:p>
        </w:tc>
        <w:tc>
          <w:tcPr>
            <w:tcW w:w="580" w:type="dxa"/>
            <w:tcBorders/>
          </w:tcPr>
          <w:p>
            <w:pPr>
              <w:pStyle w:val="TableContents"/>
              <w:bidi w:val="0"/>
              <w:spacing w:before="0" w:after="283"/>
              <w:jc w:val="left"/>
              <w:rPr/>
            </w:pPr>
            <w:r>
              <w:rPr/>
              <w:t> </w:t>
            </w:r>
          </w:p>
        </w:tc>
        <w:tc>
          <w:tcPr>
            <w:tcW w:w="3908" w:type="dxa"/>
            <w:gridSpan w:val="2"/>
            <w:tcBorders/>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[Signature Page to Voting Agreement]</w:t>
      </w:r>
    </w:p>
    <w:p>
      <w:pPr>
        <w:pStyle w:val="TextBody"/>
        <w:bidi w:val="0"/>
        <w:spacing w:before="0" w:after="0"/>
        <w:jc w:val="center"/>
        <w:rPr/>
      </w:pPr>
      <w:r>
        <w:rPr/>
      </w:r>
    </w:p>
    <w:p>
      <w:pPr>
        <w:pStyle w:val="HorizontalLine"/>
        <w:pBdr>
          <w:bottom w:val="single" w:sz="12" w:space="0" w:color="808080"/>
        </w:pBdr>
        <w:bidi w:val="0"/>
        <w:spacing w:before="200" w:after="200"/>
        <w:jc w:val="left"/>
        <w:rPr/>
      </w:pPr>
      <w:r>
        <w:rPr/>
      </w:r>
    </w:p>
    <w:p>
      <w:pPr>
        <w:pStyle w:val="TextBody"/>
        <w:bidi w:val="0"/>
        <w:spacing w:before="0" w:after="0"/>
        <w:ind w:left="4320" w:right="0" w:hanging="0"/>
        <w:jc w:val="left"/>
        <w:rPr>
          <w:b/>
        </w:rPr>
      </w:pPr>
      <w:r>
        <w:rPr>
          <w:b/>
        </w:rPr>
      </w:r>
    </w:p>
    <w:tbl>
      <w:tblPr>
        <w:tblW w:w="5928" w:type="dxa"/>
        <w:jc w:val="left"/>
        <w:tblInd w:w="0" w:type="dxa"/>
        <w:tblLayout w:type="fixed"/>
        <w:tblCellMar>
          <w:top w:w="0" w:type="dxa"/>
          <w:left w:w="0" w:type="dxa"/>
          <w:bottom w:w="0" w:type="dxa"/>
          <w:right w:w="0" w:type="dxa"/>
        </w:tblCellMar>
      </w:tblPr>
      <w:tblGrid>
        <w:gridCol w:w="60"/>
        <w:gridCol w:w="1048"/>
        <w:gridCol w:w="1603"/>
        <w:gridCol w:w="3157"/>
        <w:gridCol w:w="60"/>
      </w:tblGrid>
      <w:tr>
        <w:trPr/>
        <w:tc>
          <w:tcPr>
            <w:tcW w:w="60" w:type="dxa"/>
            <w:tcBorders/>
          </w:tcPr>
          <w:p>
            <w:pPr>
              <w:pStyle w:val="TableContents"/>
              <w:bidi w:val="0"/>
              <w:spacing w:before="0" w:after="283"/>
              <w:jc w:val="left"/>
              <w:rPr/>
            </w:pPr>
            <w:r>
              <w:rPr/>
              <w:t> </w:t>
            </w:r>
          </w:p>
        </w:tc>
        <w:tc>
          <w:tcPr>
            <w:tcW w:w="5808"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HOLDERS:</w:t>
            </w:r>
          </w:p>
          <w:p>
            <w:pPr>
              <w:pStyle w:val="TableContents"/>
              <w:bidi w:val="0"/>
              <w:spacing w:before="0" w:after="0"/>
              <w:jc w:val="left"/>
              <w:rPr/>
            </w:pPr>
            <w:r>
              <w:rPr/>
            </w:r>
          </w:p>
          <w:p>
            <w:pPr>
              <w:pStyle w:val="TableContents"/>
              <w:bidi w:val="0"/>
              <w:spacing w:before="0" w:after="0"/>
              <w:jc w:val="left"/>
              <w:rPr>
                <w:rFonts w:ascii="Times New Roman" w:hAnsi="Times New Roman"/>
                <w:b/>
                <w:sz w:val="20"/>
              </w:rPr>
            </w:pPr>
            <w:r>
              <w:rPr>
                <w:rFonts w:ascii="Times New Roman" w:hAnsi="Times New Roman"/>
                <w:b/>
                <w:sz w:val="20"/>
              </w:rPr>
              <w:t>QUMRA CAPITAL II, L.P.</w:t>
            </w:r>
          </w:p>
          <w:p>
            <w:pPr>
              <w:pStyle w:val="TableContents"/>
              <w:bidi w:val="0"/>
              <w:spacing w:before="0" w:after="0"/>
              <w:jc w:val="left"/>
              <w:rPr/>
            </w:pPr>
            <w:r>
              <w:rPr/>
            </w:r>
          </w:p>
          <w:p>
            <w:pPr>
              <w:pStyle w:val="TableContents"/>
              <w:bidi w:val="0"/>
              <w:spacing w:before="0" w:after="0"/>
              <w:jc w:val="left"/>
              <w:rPr>
                <w:rFonts w:ascii="Times New Roman" w:hAnsi="Times New Roman"/>
                <w:b/>
                <w:sz w:val="20"/>
              </w:rPr>
            </w:pPr>
            <w:r>
              <w:rPr>
                <w:rFonts w:ascii="Times New Roman" w:hAnsi="Times New Roman"/>
                <w:b/>
                <w:sz w:val="20"/>
              </w:rPr>
              <w:t>BY: QUMRA CAPITAL GP II, L.P., ITS GENERAL PARTNER,</w:t>
            </w:r>
          </w:p>
          <w:p>
            <w:pPr>
              <w:pStyle w:val="TableContents"/>
              <w:bidi w:val="0"/>
              <w:spacing w:before="0" w:after="0"/>
              <w:jc w:val="left"/>
              <w:rPr/>
            </w:pPr>
            <w:r>
              <w:rPr/>
            </w:r>
          </w:p>
          <w:p>
            <w:pPr>
              <w:pStyle w:val="TableContents"/>
              <w:bidi w:val="0"/>
              <w:spacing w:before="0" w:after="0"/>
              <w:jc w:val="left"/>
              <w:rPr>
                <w:rFonts w:ascii="Times New Roman" w:hAnsi="Times New Roman"/>
                <w:b/>
                <w:sz w:val="20"/>
              </w:rPr>
            </w:pPr>
            <w:r>
              <w:rPr>
                <w:rFonts w:ascii="Times New Roman" w:hAnsi="Times New Roman"/>
                <w:b/>
                <w:sz w:val="20"/>
              </w:rPr>
              <w:t>BY: QUMRA CAPITAL ISRAEL I LTD., ITS GENERAL PARTNER</w:t>
            </w:r>
          </w:p>
          <w:p>
            <w:pPr>
              <w:pStyle w:val="TableContents"/>
              <w:bidi w:val="0"/>
              <w:spacing w:before="0" w:after="0"/>
              <w:jc w:val="left"/>
              <w:rPr/>
            </w:pPr>
            <w:r>
              <w:rPr/>
            </w:r>
          </w:p>
          <w:p>
            <w:pPr>
              <w:pStyle w:val="TableContents"/>
              <w:bidi w:val="0"/>
              <w:spacing w:before="0" w:after="0"/>
              <w:jc w:val="left"/>
              <w:rPr>
                <w:rFonts w:ascii="Times New Roman" w:hAnsi="Times New Roman"/>
                <w:b/>
                <w:sz w:val="20"/>
              </w:rPr>
            </w:pPr>
            <w:r>
              <w:rPr>
                <w:rFonts w:ascii="Times New Roman" w:hAnsi="Times New Roman"/>
                <w:b/>
                <w:sz w:val="20"/>
              </w:rPr>
              <w:t>BY: EREZ SHACHAR, ITS MANAGING PARTNER</w:t>
            </w:r>
          </w:p>
        </w:tc>
        <w:tc>
          <w:tcPr>
            <w:tcW w:w="60" w:type="dxa"/>
            <w:tcBorders/>
          </w:tcPr>
          <w:p>
            <w:pPr>
              <w:pStyle w:val="TableContents"/>
              <w:bidi w:val="0"/>
              <w:spacing w:before="0" w:after="283"/>
              <w:jc w:val="left"/>
              <w:rPr/>
            </w:pPr>
            <w:r>
              <w:rPr/>
              <w:t> </w:t>
            </w:r>
          </w:p>
        </w:tc>
      </w:tr>
      <w:tr>
        <w:trPr/>
        <w:tc>
          <w:tcPr>
            <w:tcW w:w="60" w:type="dxa"/>
            <w:tcBorders/>
          </w:tcPr>
          <w:p>
            <w:pPr>
              <w:pStyle w:val="TableContents"/>
              <w:bidi w:val="0"/>
              <w:spacing w:before="0" w:after="283"/>
              <w:jc w:val="left"/>
              <w:rPr/>
            </w:pPr>
            <w:r>
              <w:rPr/>
              <w:t> </w:t>
            </w:r>
          </w:p>
        </w:tc>
        <w:tc>
          <w:tcPr>
            <w:tcW w:w="1048" w:type="dxa"/>
            <w:tcBorders/>
          </w:tcPr>
          <w:p>
            <w:pPr>
              <w:pStyle w:val="TableContents"/>
              <w:bidi w:val="0"/>
              <w:spacing w:before="0" w:after="283"/>
              <w:jc w:val="left"/>
              <w:rPr/>
            </w:pPr>
            <w:r>
              <w:rPr/>
              <w:t> </w:t>
            </w:r>
          </w:p>
        </w:tc>
        <w:tc>
          <w:tcPr>
            <w:tcW w:w="4760" w:type="dxa"/>
            <w:gridSpan w:val="2"/>
            <w:tcBorders/>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r>
      <w:tr>
        <w:trPr/>
        <w:tc>
          <w:tcPr>
            <w:tcW w:w="60" w:type="dxa"/>
            <w:tcBorders/>
          </w:tcPr>
          <w:p>
            <w:pPr>
              <w:pStyle w:val="TableContents"/>
              <w:bidi w:val="0"/>
              <w:spacing w:before="0" w:after="283"/>
              <w:jc w:val="left"/>
              <w:rPr/>
            </w:pPr>
            <w:r>
              <w:rPr/>
            </w:r>
          </w:p>
        </w:tc>
        <w:tc>
          <w:tcPr>
            <w:tcW w:w="1048" w:type="dxa"/>
            <w:tcBorders/>
          </w:tcPr>
          <w:p>
            <w:pPr>
              <w:pStyle w:val="TableContents"/>
              <w:bidi w:val="0"/>
              <w:spacing w:before="0" w:after="0"/>
              <w:ind w:left="0" w:right="0" w:hanging="0"/>
              <w:jc w:val="left"/>
              <w:rPr/>
            </w:pPr>
            <w:r>
              <w:rPr/>
              <w:t xml:space="preserve">By: </w:t>
            </w:r>
          </w:p>
        </w:tc>
        <w:tc>
          <w:tcPr>
            <w:tcW w:w="4760" w:type="dxa"/>
            <w:gridSpan w:val="2"/>
            <w:tcBorders>
              <w:bottom w:val="single" w:sz="12" w:space="0" w:color="000000"/>
            </w:tcBorders>
            <w:tcMar>
              <w:bottom w:w="28" w:type="dxa"/>
            </w:tcMar>
          </w:tcPr>
          <w:p>
            <w:pPr>
              <w:pStyle w:val="TableContents"/>
              <w:bidi w:val="0"/>
              <w:spacing w:before="0" w:after="283"/>
              <w:jc w:val="left"/>
              <w:rPr/>
            </w:pPr>
            <w:r>
              <w:rPr/>
              <w:t>/s/ Erez Shachar</w:t>
            </w:r>
          </w:p>
        </w:tc>
        <w:tc>
          <w:tcPr>
            <w:tcW w:w="60" w:type="dxa"/>
            <w:tcBorders/>
          </w:tcPr>
          <w:p>
            <w:pPr>
              <w:pStyle w:val="TableContents"/>
              <w:bidi w:val="0"/>
              <w:spacing w:before="0" w:after="283"/>
              <w:jc w:val="left"/>
              <w:rPr/>
            </w:pPr>
            <w:r>
              <w:rPr/>
              <w:t> </w:t>
            </w:r>
          </w:p>
        </w:tc>
      </w:tr>
      <w:tr>
        <w:trPr/>
        <w:tc>
          <w:tcPr>
            <w:tcW w:w="60" w:type="dxa"/>
            <w:tcBorders/>
          </w:tcPr>
          <w:p>
            <w:pPr>
              <w:pStyle w:val="TableContents"/>
              <w:bidi w:val="0"/>
              <w:spacing w:before="0" w:after="283"/>
              <w:jc w:val="left"/>
              <w:rPr/>
            </w:pPr>
            <w:r>
              <w:rPr/>
              <w:t> </w:t>
            </w:r>
          </w:p>
        </w:tc>
        <w:tc>
          <w:tcPr>
            <w:tcW w:w="1048" w:type="dxa"/>
            <w:tcBorders/>
          </w:tcPr>
          <w:p>
            <w:pPr>
              <w:pStyle w:val="TableContents"/>
              <w:bidi w:val="0"/>
              <w:spacing w:before="0" w:after="283"/>
              <w:jc w:val="left"/>
              <w:rPr/>
            </w:pPr>
            <w:r>
              <w:rPr/>
              <w:t> </w:t>
            </w:r>
          </w:p>
        </w:tc>
        <w:tc>
          <w:tcPr>
            <w:tcW w:w="1603" w:type="dxa"/>
            <w:tcBorders/>
            <w:vAlign w:val="bottom"/>
          </w:tcPr>
          <w:p>
            <w:pPr>
              <w:pStyle w:val="TableContents"/>
              <w:bidi w:val="0"/>
              <w:spacing w:before="0" w:after="283"/>
              <w:jc w:val="left"/>
              <w:rPr/>
            </w:pPr>
            <w:r>
              <w:rPr/>
              <w:t>Name:</w:t>
            </w:r>
          </w:p>
        </w:tc>
        <w:tc>
          <w:tcPr>
            <w:tcW w:w="3157" w:type="dxa"/>
            <w:tcBorders/>
            <w:vAlign w:val="bottom"/>
          </w:tcPr>
          <w:p>
            <w:pPr>
              <w:pStyle w:val="TableContents"/>
              <w:bidi w:val="0"/>
              <w:spacing w:before="0" w:after="283"/>
              <w:jc w:val="left"/>
              <w:rPr/>
            </w:pPr>
            <w:r>
              <w:rPr/>
              <w:t>Erez Shachar</w:t>
            </w:r>
          </w:p>
        </w:tc>
        <w:tc>
          <w:tcPr>
            <w:tcW w:w="60" w:type="dxa"/>
            <w:tcBorders/>
          </w:tcPr>
          <w:p>
            <w:pPr>
              <w:pStyle w:val="TableContents"/>
              <w:bidi w:val="0"/>
              <w:spacing w:before="0" w:after="283"/>
              <w:jc w:val="left"/>
              <w:rPr/>
            </w:pPr>
            <w:r>
              <w:rPr/>
              <w:t> </w:t>
            </w:r>
          </w:p>
        </w:tc>
      </w:tr>
      <w:tr>
        <w:trPr/>
        <w:tc>
          <w:tcPr>
            <w:tcW w:w="60" w:type="dxa"/>
            <w:tcBorders/>
          </w:tcPr>
          <w:p>
            <w:pPr>
              <w:pStyle w:val="TableContents"/>
              <w:bidi w:val="0"/>
              <w:spacing w:before="0" w:after="283"/>
              <w:jc w:val="left"/>
              <w:rPr/>
            </w:pPr>
            <w:r>
              <w:rPr/>
              <w:t> </w:t>
            </w:r>
          </w:p>
        </w:tc>
        <w:tc>
          <w:tcPr>
            <w:tcW w:w="1048" w:type="dxa"/>
            <w:tcBorders/>
          </w:tcPr>
          <w:p>
            <w:pPr>
              <w:pStyle w:val="TableContents"/>
              <w:bidi w:val="0"/>
              <w:spacing w:before="0" w:after="283"/>
              <w:jc w:val="left"/>
              <w:rPr/>
            </w:pPr>
            <w:r>
              <w:rPr/>
              <w:t> </w:t>
            </w:r>
          </w:p>
        </w:tc>
        <w:tc>
          <w:tcPr>
            <w:tcW w:w="1603" w:type="dxa"/>
            <w:tcBorders/>
          </w:tcPr>
          <w:p>
            <w:pPr>
              <w:pStyle w:val="TableContents"/>
              <w:bidi w:val="0"/>
              <w:spacing w:before="0" w:after="283"/>
              <w:jc w:val="left"/>
              <w:rPr/>
            </w:pPr>
            <w:r>
              <w:rPr/>
            </w:r>
          </w:p>
        </w:tc>
        <w:tc>
          <w:tcPr>
            <w:tcW w:w="3157" w:type="dxa"/>
            <w:tcBorders/>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r>
    </w:tbl>
    <w:p>
      <w:pPr>
        <w:pStyle w:val="TextBody"/>
        <w:bidi w:val="0"/>
        <w:spacing w:before="0" w:after="0"/>
        <w:ind w:left="4320" w:right="0" w:hanging="0"/>
        <w:jc w:val="left"/>
        <w:rPr>
          <w:b/>
        </w:rPr>
      </w:pPr>
      <w:r>
        <w:rPr>
          <w:b/>
        </w:rPr>
      </w:r>
    </w:p>
    <w:tbl>
      <w:tblPr>
        <w:tblW w:w="2514" w:type="dxa"/>
        <w:jc w:val="left"/>
        <w:tblInd w:w="0" w:type="dxa"/>
        <w:tblLayout w:type="fixed"/>
        <w:tblCellMar>
          <w:top w:w="0" w:type="dxa"/>
          <w:left w:w="0" w:type="dxa"/>
          <w:bottom w:w="0" w:type="dxa"/>
          <w:right w:w="0" w:type="dxa"/>
        </w:tblCellMar>
      </w:tblPr>
      <w:tblGrid>
        <w:gridCol w:w="60"/>
        <w:gridCol w:w="425"/>
        <w:gridCol w:w="663"/>
        <w:gridCol w:w="1306"/>
        <w:gridCol w:w="60"/>
      </w:tblGrid>
      <w:tr>
        <w:trPr/>
        <w:tc>
          <w:tcPr>
            <w:tcW w:w="60" w:type="dxa"/>
            <w:tcBorders/>
          </w:tcPr>
          <w:p>
            <w:pPr>
              <w:pStyle w:val="TableContents"/>
              <w:bidi w:val="0"/>
              <w:spacing w:before="0" w:after="283"/>
              <w:jc w:val="left"/>
              <w:rPr/>
            </w:pPr>
            <w:r>
              <w:rPr/>
              <w:t> </w:t>
            </w:r>
          </w:p>
        </w:tc>
        <w:tc>
          <w:tcPr>
            <w:tcW w:w="2394" w:type="dxa"/>
            <w:gridSpan w:val="3"/>
            <w:tcBorders/>
          </w:tcPr>
          <w:p>
            <w:pPr>
              <w:pStyle w:val="TableContents"/>
              <w:bidi w:val="0"/>
              <w:spacing w:before="0" w:after="283"/>
              <w:jc w:val="left"/>
              <w:rPr/>
            </w:pPr>
            <w:r>
              <w:rPr/>
            </w:r>
          </w:p>
        </w:tc>
        <w:tc>
          <w:tcPr>
            <w:tcW w:w="60" w:type="dxa"/>
            <w:tcBorders/>
          </w:tcPr>
          <w:p>
            <w:pPr>
              <w:pStyle w:val="TableContents"/>
              <w:bidi w:val="0"/>
              <w:spacing w:before="0" w:after="283"/>
              <w:jc w:val="left"/>
              <w:rPr/>
            </w:pPr>
            <w:r>
              <w:rPr/>
              <w:t> </w:t>
            </w:r>
          </w:p>
        </w:tc>
      </w:tr>
      <w:tr>
        <w:trPr/>
        <w:tc>
          <w:tcPr>
            <w:tcW w:w="60" w:type="dxa"/>
            <w:tcBorders/>
          </w:tcPr>
          <w:p>
            <w:pPr>
              <w:pStyle w:val="TableContents"/>
              <w:bidi w:val="0"/>
              <w:spacing w:before="0" w:after="283"/>
              <w:jc w:val="left"/>
              <w:rPr/>
            </w:pPr>
            <w:r>
              <w:rPr/>
              <w:t> </w:t>
            </w:r>
          </w:p>
        </w:tc>
        <w:tc>
          <w:tcPr>
            <w:tcW w:w="425" w:type="dxa"/>
            <w:tcBorders/>
          </w:tcPr>
          <w:p>
            <w:pPr>
              <w:pStyle w:val="TableContents"/>
              <w:bidi w:val="0"/>
              <w:spacing w:before="0" w:after="283"/>
              <w:jc w:val="left"/>
              <w:rPr/>
            </w:pPr>
            <w:r>
              <w:rPr/>
              <w:t> </w:t>
            </w:r>
          </w:p>
        </w:tc>
        <w:tc>
          <w:tcPr>
            <w:tcW w:w="1969" w:type="dxa"/>
            <w:gridSpan w:val="2"/>
            <w:tcBorders/>
          </w:tcPr>
          <w:p>
            <w:pPr>
              <w:pStyle w:val="TableContents"/>
              <w:bidi w:val="0"/>
              <w:spacing w:before="0" w:after="283"/>
              <w:jc w:val="left"/>
              <w:rPr>
                <w:b/>
              </w:rPr>
            </w:pPr>
            <w:r>
              <w:rPr>
                <w:b/>
              </w:rPr>
              <w:t>EREZ SHACHAR</w:t>
            </w:r>
          </w:p>
        </w:tc>
        <w:tc>
          <w:tcPr>
            <w:tcW w:w="60" w:type="dxa"/>
            <w:tcBorders/>
          </w:tcPr>
          <w:p>
            <w:pPr>
              <w:pStyle w:val="TableContents"/>
              <w:bidi w:val="0"/>
              <w:spacing w:before="0" w:after="283"/>
              <w:jc w:val="left"/>
              <w:rPr/>
            </w:pPr>
            <w:r>
              <w:rPr/>
              <w:t> </w:t>
            </w:r>
          </w:p>
        </w:tc>
      </w:tr>
      <w:tr>
        <w:trPr/>
        <w:tc>
          <w:tcPr>
            <w:tcW w:w="60" w:type="dxa"/>
            <w:tcBorders/>
          </w:tcPr>
          <w:p>
            <w:pPr>
              <w:pStyle w:val="TableContents"/>
              <w:bidi w:val="0"/>
              <w:spacing w:before="0" w:after="283"/>
              <w:jc w:val="left"/>
              <w:rPr/>
            </w:pPr>
            <w:r>
              <w:rPr/>
              <w:t> </w:t>
            </w:r>
          </w:p>
        </w:tc>
        <w:tc>
          <w:tcPr>
            <w:tcW w:w="425" w:type="dxa"/>
            <w:tcBorders/>
          </w:tcPr>
          <w:p>
            <w:pPr>
              <w:pStyle w:val="TableContents"/>
              <w:bidi w:val="0"/>
              <w:spacing w:before="0" w:after="283"/>
              <w:jc w:val="left"/>
              <w:rPr/>
            </w:pPr>
            <w:r>
              <w:rPr/>
              <w:t> </w:t>
            </w:r>
          </w:p>
        </w:tc>
        <w:tc>
          <w:tcPr>
            <w:tcW w:w="1969" w:type="dxa"/>
            <w:gridSpan w:val="2"/>
            <w:tcBorders/>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r>
      <w:tr>
        <w:trPr/>
        <w:tc>
          <w:tcPr>
            <w:tcW w:w="60" w:type="dxa"/>
            <w:tcBorders/>
          </w:tcPr>
          <w:p>
            <w:pPr>
              <w:pStyle w:val="TableContents"/>
              <w:bidi w:val="0"/>
              <w:spacing w:before="0" w:after="283"/>
              <w:jc w:val="left"/>
              <w:rPr/>
            </w:pPr>
            <w:r>
              <w:rPr/>
            </w:r>
          </w:p>
        </w:tc>
        <w:tc>
          <w:tcPr>
            <w:tcW w:w="425" w:type="dxa"/>
            <w:tcBorders/>
          </w:tcPr>
          <w:p>
            <w:pPr>
              <w:pStyle w:val="TableContents"/>
              <w:bidi w:val="0"/>
              <w:spacing w:before="0" w:after="0"/>
              <w:ind w:left="0" w:right="0" w:hanging="0"/>
              <w:jc w:val="left"/>
              <w:rPr/>
            </w:pPr>
            <w:r>
              <w:rPr/>
              <w:t xml:space="preserve">By: </w:t>
            </w:r>
          </w:p>
        </w:tc>
        <w:tc>
          <w:tcPr>
            <w:tcW w:w="1969" w:type="dxa"/>
            <w:gridSpan w:val="2"/>
            <w:tcBorders>
              <w:bottom w:val="single" w:sz="12" w:space="0" w:color="000000"/>
            </w:tcBorders>
            <w:tcMar>
              <w:bottom w:w="28" w:type="dxa"/>
            </w:tcMar>
          </w:tcPr>
          <w:p>
            <w:pPr>
              <w:pStyle w:val="TableContents"/>
              <w:bidi w:val="0"/>
              <w:spacing w:before="0" w:after="283"/>
              <w:jc w:val="left"/>
              <w:rPr/>
            </w:pPr>
            <w:r>
              <w:rPr/>
              <w:t>/s/ Erez Shachar</w:t>
            </w:r>
          </w:p>
        </w:tc>
        <w:tc>
          <w:tcPr>
            <w:tcW w:w="60" w:type="dxa"/>
            <w:tcBorders/>
          </w:tcPr>
          <w:p>
            <w:pPr>
              <w:pStyle w:val="TableContents"/>
              <w:bidi w:val="0"/>
              <w:spacing w:before="0" w:after="283"/>
              <w:jc w:val="left"/>
              <w:rPr/>
            </w:pPr>
            <w:r>
              <w:rPr/>
              <w:t> </w:t>
            </w:r>
          </w:p>
        </w:tc>
      </w:tr>
      <w:tr>
        <w:trPr/>
        <w:tc>
          <w:tcPr>
            <w:tcW w:w="60" w:type="dxa"/>
            <w:tcBorders/>
          </w:tcPr>
          <w:p>
            <w:pPr>
              <w:pStyle w:val="TableContents"/>
              <w:bidi w:val="0"/>
              <w:spacing w:before="0" w:after="283"/>
              <w:jc w:val="left"/>
              <w:rPr/>
            </w:pPr>
            <w:r>
              <w:rPr/>
              <w:t> </w:t>
            </w:r>
          </w:p>
        </w:tc>
        <w:tc>
          <w:tcPr>
            <w:tcW w:w="425" w:type="dxa"/>
            <w:tcBorders/>
          </w:tcPr>
          <w:p>
            <w:pPr>
              <w:pStyle w:val="TableContents"/>
              <w:bidi w:val="0"/>
              <w:spacing w:before="0" w:after="283"/>
              <w:jc w:val="left"/>
              <w:rPr/>
            </w:pPr>
            <w:r>
              <w:rPr/>
              <w:t> </w:t>
            </w:r>
          </w:p>
        </w:tc>
        <w:tc>
          <w:tcPr>
            <w:tcW w:w="663" w:type="dxa"/>
            <w:tcBorders/>
            <w:vAlign w:val="bottom"/>
          </w:tcPr>
          <w:p>
            <w:pPr>
              <w:pStyle w:val="TableContents"/>
              <w:bidi w:val="0"/>
              <w:spacing w:before="0" w:after="283"/>
              <w:jc w:val="left"/>
              <w:rPr/>
            </w:pPr>
            <w:r>
              <w:rPr/>
              <w:t>Name:</w:t>
            </w:r>
          </w:p>
        </w:tc>
        <w:tc>
          <w:tcPr>
            <w:tcW w:w="1306" w:type="dxa"/>
            <w:tcBorders/>
            <w:vAlign w:val="bottom"/>
          </w:tcPr>
          <w:p>
            <w:pPr>
              <w:pStyle w:val="TableContents"/>
              <w:bidi w:val="0"/>
              <w:spacing w:before="0" w:after="283"/>
              <w:jc w:val="left"/>
              <w:rPr/>
            </w:pPr>
            <w:r>
              <w:rPr/>
              <w:t>Erez Shachar</w:t>
            </w:r>
          </w:p>
        </w:tc>
        <w:tc>
          <w:tcPr>
            <w:tcW w:w="60" w:type="dxa"/>
            <w:tcBorders/>
          </w:tcPr>
          <w:p>
            <w:pPr>
              <w:pStyle w:val="TableContents"/>
              <w:bidi w:val="0"/>
              <w:spacing w:before="0" w:after="283"/>
              <w:jc w:val="left"/>
              <w:rPr/>
            </w:pPr>
            <w:r>
              <w:rPr/>
              <w:t> </w:t>
            </w:r>
          </w:p>
        </w:tc>
      </w:tr>
      <w:tr>
        <w:trPr/>
        <w:tc>
          <w:tcPr>
            <w:tcW w:w="60" w:type="dxa"/>
            <w:tcBorders/>
          </w:tcPr>
          <w:p>
            <w:pPr>
              <w:pStyle w:val="TableContents"/>
              <w:bidi w:val="0"/>
              <w:spacing w:before="0" w:after="283"/>
              <w:jc w:val="left"/>
              <w:rPr/>
            </w:pPr>
            <w:r>
              <w:rPr/>
              <w:t> </w:t>
            </w:r>
          </w:p>
        </w:tc>
        <w:tc>
          <w:tcPr>
            <w:tcW w:w="425" w:type="dxa"/>
            <w:tcBorders/>
          </w:tcPr>
          <w:p>
            <w:pPr>
              <w:pStyle w:val="TableContents"/>
              <w:bidi w:val="0"/>
              <w:spacing w:before="0" w:after="283"/>
              <w:jc w:val="left"/>
              <w:rPr/>
            </w:pPr>
            <w:r>
              <w:rPr/>
              <w:t> </w:t>
            </w:r>
          </w:p>
        </w:tc>
        <w:tc>
          <w:tcPr>
            <w:tcW w:w="663" w:type="dxa"/>
            <w:tcBorders/>
          </w:tcPr>
          <w:p>
            <w:pPr>
              <w:pStyle w:val="TableContents"/>
              <w:bidi w:val="0"/>
              <w:spacing w:before="0" w:after="283"/>
              <w:jc w:val="left"/>
              <w:rPr/>
            </w:pPr>
            <w:r>
              <w:rPr/>
            </w:r>
          </w:p>
        </w:tc>
        <w:tc>
          <w:tcPr>
            <w:tcW w:w="1306" w:type="dxa"/>
            <w:tcBorders/>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[Signature Page to Voting Agreement]</w:t>
      </w:r>
    </w:p>
    <w:p>
      <w:pPr>
        <w:pStyle w:val="TextBody"/>
        <w:bidi w:val="0"/>
        <w:spacing w:before="0" w:after="0"/>
        <w:jc w:val="left"/>
        <w:rPr/>
      </w:pPr>
      <w:r>
        <w:rPr/>
      </w:r>
    </w:p>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64333</Words>
  <Characters>345598</Characters>
  <CharactersWithSpaces>410434</CharactersWithSpaces>
  <Paragraphs>1694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